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9,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226"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884"/>
        <w:gridCol w:w="884"/>
        <w:gridCol w:w="1261"/>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77-0260692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1141 Cummings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Paula, CA 93060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(805) 525-5541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5349" w:type="dxa"/>
        <w:jc w:val="center"/>
        <w:tblInd w:w="0" w:type="dxa"/>
        <w:tblLayout w:type="fixed"/>
        <w:tblCellMar>
          <w:top w:w="28" w:type="dxa"/>
          <w:left w:w="28" w:type="dxa"/>
          <w:bottom w:w="28" w:type="dxa"/>
          <w:right w:w="28" w:type="dxa"/>
        </w:tblCellMar>
      </w:tblPr>
      <w:tblGrid>
        <w:gridCol w:w="634"/>
        <w:gridCol w:w="559"/>
        <w:gridCol w:w="559"/>
        <w:gridCol w:w="559"/>
        <w:gridCol w:w="559"/>
        <w:gridCol w:w="559"/>
        <w:gridCol w:w="559"/>
        <w:gridCol w:w="559"/>
        <w:gridCol w:w="802"/>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211"/>
        <w:gridCol w:w="1039"/>
        <w:gridCol w:w="1051"/>
        <w:gridCol w:w="556"/>
        <w:gridCol w:w="556"/>
        <w:gridCol w:w="558"/>
        <w:gridCol w:w="1528"/>
        <w:gridCol w:w="1528"/>
        <w:gridCol w:w="2178"/>
      </w:tblGrid>
      <w:tr>
        <w:trPr/>
        <w:tc>
          <w:tcPr>
            <w:tcW w:w="121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 (s)</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LMNR</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 (NASDAQ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ind w:left="0" w:right="0" w:firstLine="576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9, 2026, Limoneira Company (NASDAQ: LMNR) issued a press release announcing its financial results for the quarter ended July 31, 2026. A copy of the press release is furnished within this report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both"/>
        <w:rPr>
          <w:color w:val="000000"/>
        </w:rPr>
      </w:pPr>
      <w:r>
        <w:rPr>
          <w:color w:val="000000"/>
        </w:rPr>
        <w:t> </w:t>
      </w:r>
    </w:p>
    <w:tbl>
      <w:tblPr>
        <w:tblW w:w="8070" w:type="dxa"/>
        <w:jc w:val="left"/>
        <w:tblInd w:w="0" w:type="dxa"/>
        <w:tblLayout w:type="fixed"/>
        <w:tblCellMar>
          <w:top w:w="28" w:type="dxa"/>
          <w:left w:w="28" w:type="dxa"/>
          <w:bottom w:w="28" w:type="dxa"/>
          <w:right w:w="28" w:type="dxa"/>
        </w:tblCellMar>
      </w:tblPr>
      <w:tblGrid>
        <w:gridCol w:w="515"/>
        <w:gridCol w:w="454"/>
        <w:gridCol w:w="456"/>
        <w:gridCol w:w="1942"/>
        <w:gridCol w:w="1942"/>
        <w:gridCol w:w="2761"/>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mnr73126erex991.htm">
              <w:r>
                <w:rPr>
                  <w:rStyle w:val="InternetLink"/>
                  <w:rFonts w:ascii="Times New Roman;serif" w:hAnsi="Times New Roman;serif"/>
                  <w:b w:val="false"/>
                  <w:color w:val="0000FF"/>
                  <w:sz w:val="20"/>
                  <w:u w:val="single"/>
                </w:rPr>
                <w:t>99.1</w:t>
              </w:r>
            </w:hyperlink>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Limoneira Company Press Release dated September 9, 2026.</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left"/>
        <w:rPr/>
      </w:pPr>
      <w:r>
        <w:rPr/>
      </w:r>
    </w:p>
    <w:tbl>
      <w:tblPr>
        <w:tblW w:w="7218" w:type="dxa"/>
        <w:jc w:val="left"/>
        <w:tblInd w:w="0" w:type="dxa"/>
        <w:tblLayout w:type="fixed"/>
        <w:tblCellMar>
          <w:top w:w="28" w:type="dxa"/>
          <w:left w:w="28" w:type="dxa"/>
          <w:bottom w:w="28" w:type="dxa"/>
          <w:right w:w="28" w:type="dxa"/>
        </w:tblCellMar>
      </w:tblPr>
      <w:tblGrid>
        <w:gridCol w:w="590"/>
        <w:gridCol w:w="519"/>
        <w:gridCol w:w="526"/>
        <w:gridCol w:w="346"/>
        <w:gridCol w:w="346"/>
        <w:gridCol w:w="346"/>
        <w:gridCol w:w="1318"/>
        <w:gridCol w:w="1318"/>
        <w:gridCol w:w="1909"/>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5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LIMONEIRA COMPANY</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C. Hamm</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C. Hamm</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Vice President, Chief Financial Officer and Treasurer</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2628900"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28900" cy="609600"/>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Limoneira Company Announces Third Quarter Fiscal Year 2026 Financial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Third Quarter Total Net Revenues of $43.8 Million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Entered Agreement to Sell Windfall Farms Vineyard Property for $15.0 Million All-Cash Via Competitive Public Auction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Water Monetization Strategy Remains on Track for Fiscal Year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Raises Avocado Volume and Narrows Lemon Volume Guidance for Full Year Fiscal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SANTA PAULA, Calif.-- (BUSINESS WIRE) – September 9, 2026 -- Limoneira Company (the “Company” or “Limoneira”) (Nasdaq: LMNR), a diversified lemon and avocado growing and lemon packing company with related agribusiness activities and real estate development operations, today reported financial results for the third quarter ended July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continues to execute on its value creation strategy of growing agriculture income and monetizing land and water assets.</w:t>
      </w:r>
    </w:p>
    <w:p>
      <w:pPr>
        <w:pStyle w:val="TextBody"/>
        <w:bidi w:val="0"/>
        <w:spacing w:before="0" w:after="0"/>
        <w:jc w:val="center"/>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Agriculture initiatives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Streamlining operations;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Expanding avocado production;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Optimizing lemon packing with recently announced Sunkist partnership;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Expanding organic recycling facility.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Land and water assets initiatives include: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Selling non-strategic land assets as part of the Company's near-term monetization pipeline;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Selling certain water rights as part of the Company's near and medium-term monetization pipeline.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Management Comments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Harold Edwards, President and Chief Executive Officer of the Company, stated, “Third quarter results came in below our expectations due to lighter than anticipated lemon sales volume. However, adjusted EBITDA exceeded prior-year third quarter results, and our overall performance reflects our continued efforts to execute our strategic transformation to position Limoneira for long-term value creation. The quarter benefited from higher total agribusiness operating income and progress toward our targeted $10 million in annual selling, general and administrative expense savings, excluding an allowance on foreign receivables. We now expect to achieve the lower end of our lemon volume guidance as a result of higher imports, and we are again raising our avocado volume guidance for fiscal year 2026. Looking ahead, we expect to produce more than 10 million pounds of avocados in fiscal year 2027, an increase of approximately 30 percent over fiscal year 2026. This anticipated growth next year is primarily driven by the 400 acres of avocados we planted in 2023 and 2024, which we expect will set a crop this year and contribute to fiscal year 2027 volumes.”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expect the sale of Windfall Farms for $15 million to close on September 14, 2026, subject to customary closing conditions, which is the most recent step in Limoneira's ongoing strategy to monetize non-strategic assets, strengthen our balance sheet, reduce debt, and redeploy capital into higher-return opportunities across our core agribusiness and real estate platforms. In total, we have identified over $200 million of real estate development and non-strategic land assets and certain water rights for potential monetization. Our water monetization strategy continues to advance on track, and we expect a monetization event tied to our Colorado River water rights in fiscal year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As we enter the fiscal fourth quarter, we expect another quarter of positive adjusted EBITDA and additional monetization events.</w:t>
      </w:r>
      <w:r>
        <w:rPr>
          <w:color w:val="000000"/>
        </w:rPr>
        <w:t xml:space="preserve"> </w:t>
      </w:r>
      <w:r>
        <w:rPr>
          <w:rFonts w:ascii="Times New Roman;serif" w:hAnsi="Times New Roman;serif"/>
          <w:b w:val="false"/>
          <w:color w:val="000000"/>
          <w:sz w:val="22"/>
        </w:rPr>
        <w:t>We are building a more focused and efficient Limoneira, and we believe the full impact of that transformation will be increasingly visible in fiscal 2027,” concluded Mr. Edwards.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Fiscal Year 2026 Third Quarter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third quarter of fiscal year 2026, total net revenues were $43.8 million, compared to total net revenues of $47.5 million in the third quarter of the previous fiscal year. Agribusiness revenues were $42.2 million, compared to $45.9 million in the third quarter of last fiscal year. Other operations revenue was $1.6 million in the third quarter of fiscal year 2026, compared to $1.5 million in the third quarter of last fiscal year. The year-over-year decrease in total net revenues was primarily due to lower brokered lemons, oranges and specialty citrus sales resulting from transition of the Company’s citrus brokerage operations to Sunkist. These declines were partially offset by increased fresh carton lemon sales driven by higher prices.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Agribusiness revenues in the third quarter of fiscal year 2026 include $27.3 million in fresh lemon carton sales, compared to $23.8 million of fresh lemon carton sales during the same period of fiscal year 2025. Approximately 1,373,000 cartons of fresh lemons were sold during the third quarter of fiscal year 2026 at a $19.88 average price per carton, compared to approximately 1,397,000 cartons sold at a $17.02 average price per carton during the third quarter of fiscal year 2025. Fresh lemon carton sales and per carton prices for the third quarter of fiscal year 2026 are net of the Sunkist marketing fee. Brokered lemons and other lemon sales were immaterial in the third quarter of fiscal year 2026, compared to $3.8 million in the third quarter of fiscal year 2025, primarily due to the transition of the Company’s citrus brokerage operations to Sunkist.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recognized $8.0 million of avocado revenue in the third quarter of fiscal year 2026, compared to $8.5 million of avocado revenue in the third quarter of last fiscal year. Approximately 7,013,000 pounds were sold in aggregate during the third quarter of fiscal year 2026 at a $1.15 average price per pound, compared to approximately 5,654,000 pounds sold at a $1.50 average price per pound during the third quarter of fiscal year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recognized no orange revenue in the third quarter of fiscal year 2026, compared to $1.7 million in the same period of fiscal year 2025. The Company recognized no specialty citrus and wine grape revenues in the third quarter of fiscal year 2026, compared to $0.6 million in the third quarter of fiscal year 2025. The decrease was related to the transition of the Company’s citrus brokerage operations to Sunkist.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Total costs and expenses in the third quarter of fiscal year 2026 were $46.8 million, compared to $48.1 million in the third quarter of last fiscal year. The decrease was primarily due to a decrease in agribusiness costs and lower selling, general and administrative expenses, partially offset by impairment of assets related to Windfall Farms. Selling, general and administrative expenses were $4.0 million in the third quarter of fiscal year 2026, compared to $5.0 million in the third quarter of fiscal year 2025, primarily due to lower salaries, benefits and other selling expenses related to the Sunkist transition.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Operating loss for the third quarter of fiscal year 2026 was $3.0 million, compared to operating loss of $0.6 million in the third quarter of the previous fiscal year, reflecting the revenue and cost factors described above.</w:t>
      </w:r>
      <w:r>
        <w:rPr>
          <w:color w:val="000000"/>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loss applicable to common stock, after preferred dividends, for the third quarter of fiscal year 2026 was $3.0 million, compared to net loss applicable to common stock of $1.0 million in the third quarter of fiscal year 2025. Net loss per diluted share for the third quarter of fiscal year 2026 was $0.17, compared to net loss per diluted share of $0.06 for the same period of fiscal year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Adjusted net income for diluted EPS in the third quarter of fiscal year 2026 was $0.4 million or $0.02 per diluted share, similar to the third quarter of fiscal year 2025 adjusted net loss for diluted EPS of $0.4 million or $0.02 per diluted share. A reconciliation of net loss attributable to Limoneira Company to adjusted net loss for diluted EPS is provided at the end of this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Non-GAAP adjusted EBITDA was $3.9 million in the third quarter of fiscal year 2026, compared to $3.0 million in the same period of fiscal year 2025. A reconciliation of net loss attributable to Limoneira Company to non-GAAP adjusted EBITDA is provided at the end of this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Fiscal Year 2026 First Nine Months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nine months ended July 31, 2026, total net revenues were $85.9 million, compared to $116.9 million for the same period in fiscal year 2025. The decrease was primarily due to decreased agribusiness revenues from lemons, avocados, oranges and farm management, largely reflecting the transition of the Company’s citrus brokerage operations to Sunkist, decreased avocado revenues and the exit of the Company’s Chilean farming operations and farm management business.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Operating loss for the first nine months of fiscal year 2026 was $35.2 million, compared to operating loss of $9.3 million in the same period last fiscal year. The increase in operating loss was primarily due to an aggregate impairment of approximately $13.5 million of the Windfall Farms property assets and an $8.2 million loss and expected loss on disposal of assets, primarily related to the removal of the Company’s remaining lemon orchards in Yuma, Arizona, recognized earlier in fiscal year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Net loss applicable to common stock, after preferred dividends, was $34.0 million for the first nine months of fiscal year 2026, compared to net loss of $7.7 million in the same period last fiscal year. Net loss per diluted share for the first nine months of fiscal year 2026 was $1.91, compared to net loss per diluted share of $0.43 in the same period of fiscal year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first nine months of fiscal year 2026, adjusted net loss for diluted EPS was $13.3 million, compared to adjusted net loss for diluted EPS of $6.1 million for the same period in fiscal year 2025. In the first nine months of fiscal year 2026, adjusted net loss per diluted share was $0.74, compared to adjusted net loss per diluted share of $0.34 for the same period in fiscal year 2025, based on approximately 17.9 million and 17.8 million, respectively, adjusted weighted average diluted common shares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Balance Sheet and Liquidity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nine months of fiscal year 2026, net cash used in operating activities was $15.9 million, compared to net cash used in operating activities of $7.0 million in the same period of the prior fiscal year. For the first nine months of fiscal year 2026, net cash used in investing activities was $9.5 million, compared to net cash used in investing activities of $9.9 million in the same period last fiscal year. Net cash provided by financing activities was $26.2 million for the first nine months of fiscal year 2026, compared to net cash provided by financing activities of $15.9 million in the same period of the prior fiscal year. </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2"/>
        </w:rPr>
        <w:t xml:space="preserve">Long-term debt, less current portion as of July 31, 2026 was $100.7 million, compared to $72.5 million at the end of fiscal year 2025. In April 2025, the Company received a cash distribution of $10.0 million of its share of a $20.0 million cash distribution from its real estate development 50/50 joint venture, </w:t>
      </w:r>
      <w:r>
        <w:rPr>
          <w:rFonts w:ascii="Times New Roman;serif" w:hAnsi="Times New Roman;serif"/>
          <w:b w:val="false"/>
          <w:i/>
          <w:color w:val="000000"/>
          <w:sz w:val="22"/>
        </w:rPr>
        <w:t>Harvest at Limoneira</w:t>
      </w:r>
      <w:r>
        <w:rPr>
          <w:rFonts w:ascii="Times New Roman;serif" w:hAnsi="Times New Roman;serif"/>
          <w:b w:val="false"/>
          <w:color w:val="000000"/>
          <w:sz w:val="22"/>
        </w:rPr>
        <w:t>, with The Lewis Group of Companies. The distribution came from the joint venture’s available cash and cash equivalents, which as of July 31, 2026, totaled $12.5 million.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Insurance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first nine months of fiscal year 2026, the Company received aggregate insurance proceeds of $5.4 million related to combined business interruption and casualty loss claims arising from incidents at its packinghouses. On September 2, 2026, the Company received confirmation from its insurance company that an additional $2.0 million of insurance proceeds is to be paid for such claims. The Company anticipates receiving these additional insurance proceeds in the fourth quarter of fiscal year 2026 at which time income will be recognized for the amounts received.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Land and Water Asset Monetization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In April 2024, </w:t>
      </w:r>
      <w:r>
        <w:rPr>
          <w:rFonts w:ascii="Times New Roman;serif" w:hAnsi="Times New Roman;serif"/>
          <w:b w:val="false"/>
          <w:i/>
          <w:color w:val="000000"/>
          <w:sz w:val="22"/>
        </w:rPr>
        <w:t>Harvest at Limoneira</w:t>
      </w:r>
      <w:r>
        <w:rPr>
          <w:color w:val="000000"/>
        </w:rPr>
        <w:t xml:space="preserve"> </w:t>
      </w:r>
      <w:r>
        <w:rPr>
          <w:rFonts w:ascii="Times New Roman;serif" w:hAnsi="Times New Roman;serif"/>
          <w:b w:val="false"/>
          <w:color w:val="000000"/>
          <w:sz w:val="22"/>
        </w:rPr>
        <w:t xml:space="preserve">closed on lot sales representing 554 residential units, thus completing the sell-out of Phase 2 of the development. In February 2026, </w:t>
      </w:r>
      <w:r>
        <w:rPr>
          <w:rFonts w:ascii="Times New Roman;serif" w:hAnsi="Times New Roman;serif"/>
          <w:b w:val="false"/>
          <w:i/>
          <w:color w:val="000000"/>
          <w:sz w:val="22"/>
        </w:rPr>
        <w:t>Harvest at Limoneira</w:t>
      </w:r>
      <w:r>
        <w:rPr>
          <w:color w:val="000000"/>
        </w:rPr>
        <w:t xml:space="preserve"> </w:t>
      </w:r>
      <w:r>
        <w:rPr>
          <w:rFonts w:ascii="Times New Roman;serif" w:hAnsi="Times New Roman;serif"/>
          <w:b w:val="false"/>
          <w:color w:val="000000"/>
          <w:sz w:val="22"/>
        </w:rPr>
        <w:t>celebrated the grand opening of five new neighborhoods in Phase 2, and home sales are underway.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September 2025, Limoneira announced plans to explore the development of housing on the Limco Del Mar Ranch to help address Ventura County’s housing needs. Limoneira believes that infill development, such as the Limco Del Mar project, offers the opportunity for efficient, balanced, and well-planned development that has the potential to stimulate economic growth, create jobs, and contribute to vibrant, livable communities.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In April 2026, Limoneira completed the formation</w:t>
      </w:r>
      <w:r>
        <w:rPr>
          <w:color w:val="000000"/>
        </w:rPr>
        <w:t xml:space="preserve"> </w:t>
      </w:r>
      <w:r>
        <w:rPr>
          <w:rFonts w:ascii="Times New Roman;serif" w:hAnsi="Times New Roman;serif"/>
          <w:b w:val="false"/>
          <w:color w:val="000000"/>
          <w:sz w:val="22"/>
        </w:rPr>
        <w:t>of a 50/50 joint venture with California Wood Recycling, Inc. dba Agromin, one of California's largest organics waste recyclers. The joint venture is developing a 70-acre commercial composting center on Limoneira’s property in Santa Paula, California. Limoneira leases the site to the joint venture for approximately $560,000 annually, with the lease including 89 acre-feet of annual water supply to the facility. The composting center is expected to become operational in the second half of fiscal year 2027 and is projected to generate significant earnings, shared equally between Limoneira and Agromin.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April 2026, Limoneira made the decision to cease citrus farming operations on the remaining 600 acres of lemons located at the Company’s Associated Citrus Packers property in Yuma, Arizona. The decision aligns with the Company’s strategic plan to monetize Class 3 Colorado River water rights by conserving water via crop substitution to low-water-use crops. Several reservoir and water management agreements that govern the management of the Colorado River are scheduled to expire at the end of 2026, and the Company believes there may be near-term opportunities for monetization of its water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August 2026, Limoneira's wholly owned subsidiary, Windfall Investors, LLC, entered into a Purchase and Sale Agreement to sell the Company’s Windfall Farms property following a competitive public auction. The property is located in Paso Robles, California and consists of approximately 724 acres of land, including approximately 400 acres of wine grapes and related improvements and infrastructure. The property will be sold to a private buyer for $15.0 million in an all-cash transaction, and the Company recorded a $9.3 million impairment charge in the second quarter and an additional $4.1 million impairment charge in the third quarter, for aggregate impairment charges of approximately $13.5 million. The transaction is expected to close on September 14, 2026, subject to customary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Fiscal Year 2026 Guidance and Longer-Term Outlook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expects fresh lemon volumes to be at the lower end of its previously announced range of 4.0 million to 4.5 million cartons for fiscal year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increased its expected avocado volumes to be in the range of 7.0 million to 7.25 million, compared to the previous range of 5.5 million to 6.5 million pounds for fiscal year 2026.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expects to receive total proceeds of approximately $180 million from Harvest, LLCB II, LLC and East Area II spread out over seven fiscal years, of which $10 million was received in fiscal year 2025 and $15 million was received in fiscal year 2024.</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2"/>
        </w:rPr>
      </w:pPr>
      <w:r>
        <w:rPr>
          <w:rFonts w:ascii="Times New Roman;serif" w:hAnsi="Times New Roman;serif"/>
          <w:b/>
          <w:i/>
          <w:color w:val="000000"/>
          <w:sz w:val="22"/>
        </w:rPr>
        <w:t>Harvest at Limoneira Cash Flow Projections (in millions)</w:t>
      </w:r>
    </w:p>
    <w:p>
      <w:pPr>
        <w:pStyle w:val="TextBody"/>
        <w:bidi w:val="0"/>
        <w:spacing w:before="0" w:after="0"/>
        <w:jc w:val="both"/>
        <w:rPr/>
      </w:pPr>
      <w:r>
        <w:rPr/>
      </w:r>
    </w:p>
    <w:tbl>
      <w:tblPr>
        <w:tblW w:w="9206" w:type="dxa"/>
        <w:jc w:val="left"/>
        <w:tblInd w:w="0" w:type="dxa"/>
        <w:tblLayout w:type="fixed"/>
        <w:tblCellMar>
          <w:top w:w="28" w:type="dxa"/>
          <w:left w:w="28" w:type="dxa"/>
          <w:bottom w:w="28" w:type="dxa"/>
          <w:right w:w="28" w:type="dxa"/>
        </w:tblCellMar>
      </w:tblPr>
      <w:tblGrid>
        <w:gridCol w:w="720"/>
        <w:gridCol w:w="632"/>
        <w:gridCol w:w="642"/>
        <w:gridCol w:w="109"/>
        <w:gridCol w:w="109"/>
        <w:gridCol w:w="109"/>
        <w:gridCol w:w="374"/>
        <w:gridCol w:w="374"/>
        <w:gridCol w:w="376"/>
        <w:gridCol w:w="109"/>
        <w:gridCol w:w="109"/>
        <w:gridCol w:w="109"/>
        <w:gridCol w:w="374"/>
        <w:gridCol w:w="374"/>
        <w:gridCol w:w="376"/>
        <w:gridCol w:w="109"/>
        <w:gridCol w:w="109"/>
        <w:gridCol w:w="109"/>
        <w:gridCol w:w="175"/>
        <w:gridCol w:w="175"/>
        <w:gridCol w:w="176"/>
        <w:gridCol w:w="109"/>
        <w:gridCol w:w="109"/>
        <w:gridCol w:w="109"/>
        <w:gridCol w:w="175"/>
        <w:gridCol w:w="175"/>
        <w:gridCol w:w="176"/>
        <w:gridCol w:w="109"/>
        <w:gridCol w:w="109"/>
        <w:gridCol w:w="109"/>
        <w:gridCol w:w="175"/>
        <w:gridCol w:w="175"/>
        <w:gridCol w:w="176"/>
        <w:gridCol w:w="109"/>
        <w:gridCol w:w="109"/>
        <w:gridCol w:w="109"/>
        <w:gridCol w:w="175"/>
        <w:gridCol w:w="175"/>
        <w:gridCol w:w="176"/>
        <w:gridCol w:w="109"/>
        <w:gridCol w:w="109"/>
        <w:gridCol w:w="109"/>
        <w:gridCol w:w="167"/>
        <w:gridCol w:w="167"/>
        <w:gridCol w:w="237"/>
      </w:tblGrid>
      <w:tr>
        <w:trPr/>
        <w:tc>
          <w:tcPr>
            <w:tcW w:w="7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$42</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800 acres of non-bearing avocados estimated to become full bearing over the next two to four years, which the Company expects will enable strong organic growth in the coming years. Additionally, the Company plans to expand its plantings of avocados by an additional 200 acres through fiscal year 2027. The foregoing describes organic growth opportunities and does not include potential acquisition opportunities for the Company in its highly fragmented industry.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host a conference call to discuss its financial results on September 9, 2026, at 1:30 p.m. Pacific Time (4:30 p.m. Eastern Time). Investors interested in participating in the live call can dial (877) 407-0789 from the U.S. International callers can dial (201) 689-8562. A telephone replay will be available approximately three hours after the call concludes and will be available through September 23, 2026, by dialing (844) 512-2921 from the U.S., or (412) 317-6671 from international locations; the passcode is 13761764.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Limoneira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Limoneira Company, a 133-year-old international agribusiness headquartered in Santa Paula, California, has become one of the premier integrated agribusinesses in the world. Limoneira (lē moñ âra) is a dedicated sustainability company with 7,000 acres of rich agricultural lands, real estate properties, and water rights in California, Arizona and Argentina. The Company is a leading producer of lemons and avocados that are enjoyed throughout the world. For more about Limoneira Company, visit </w:t>
      </w:r>
      <w:r>
        <w:rPr>
          <w:rFonts w:ascii="Times New Roman;serif" w:hAnsi="Times New Roman;serif"/>
          <w:b w:val="false"/>
          <w:color w:val="0000FF"/>
          <w:sz w:val="22"/>
          <w:u w:val="single"/>
        </w:rPr>
        <w:t>www.limoneira.com.</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John Mills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Managing Partner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ICR 646-277-1254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This press release contains forward-looking statements within the meaning of Section 27A of the Securities Act of 1933, as amended, and Section 21E of the Securities Exchange Act of 1934, as amended. These forward-looking statements are based on Limoneira’s current expectations about future events and can be identified by terms such as “may,” “might,” “will,” “should,” “would,” “expect,” “plan,” “anticipate,” “could,” “intend,” “target,” “project,” “contemplate,” “believe,” “estimate,” “predict,” “likely,” “potential,” “remain,” or “continue,” and similar expressions referring to future periods.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Limoneira believes the expectations reflected in the forward-looking statements are reasonable but cannot guarantee future results, level of activity, performance or achievements. Actual results may differ materially from those expressed or implied in the forward-looking statements. Therefore, Limoneira cautions you against relying on any of these forward-looking statements. Factors that may cause future outcomes to differ materially from those foreseen in forward-looking statements include, but are not limited to: success in executing the Company’s business plans and strategies and managing the risks involved in the foregoing, including the proposed sale of Windfall Farms, subject to customary closing conditions, and the anticipated benefits of such sale; the future monetization of water rights and non-strategic land assets; the achievement of selling, general and administrative expense savings; the ongoing transition of the Company's lemon sales and marketing operations to Sunkist Growers Inc. and the ability of the transition to improve efficiency and reduce costs; the Company may not realize the anticipated benefits and earnings of the newly formed joint venture with Agromin;</w:t>
      </w:r>
      <w:r>
        <w:rPr>
          <w:color w:val="000000"/>
        </w:rPr>
        <w:t xml:space="preserve"> </w:t>
      </w:r>
      <w:r>
        <w:rPr>
          <w:rFonts w:ascii="Times New Roman;serif" w:hAnsi="Times New Roman;serif"/>
          <w:b w:val="false"/>
          <w:i/>
          <w:color w:val="000000"/>
          <w:sz w:val="22"/>
        </w:rPr>
        <w:t xml:space="preserve">changes in laws, regulations, rules, quotas, tariffs and import laws; weather conditions that affect production, transportation, storage, import and export of fresh produce; increased pressure from crop disease, insects and other pests; disruption of water supplies or changes in water allocations; disruption in the global supply chain; pricing and supply of raw materials and products; market responses to industry volume pressures; pricing and supply of energy; inability to pay debt obligations; ability to maintain compliance with debt covenants under our loan agreements or obtain modifications, waivers or deferrals of such covenants; changes in interest rates and the impact of inflation; availability of financing for land development activities; general economic conditions for residential and commercial real estate development; political changes and economic crises; international conflict; acts of terrorism; labor disruptions, strikes or work stoppages; government restrictions on land use; the impact of foreign exchange rate movements; loss of important intellectual property rights; and market and pricing risks due to concentrated ownership of stock. Other risks and uncertainties include, among others, those that are described in Limoneira’s SEC filings that are available on the SEC’s website at </w:t>
      </w:r>
      <w:r>
        <w:rPr>
          <w:rFonts w:ascii="Times New Roman;serif" w:hAnsi="Times New Roman;serif"/>
          <w:b w:val="false"/>
          <w:i/>
          <w:color w:val="0000FF"/>
          <w:sz w:val="22"/>
        </w:rPr>
        <w:t>http://www.sec.gov</w:t>
      </w:r>
      <w:r>
        <w:rPr>
          <w:rFonts w:ascii="Times New Roman;serif" w:hAnsi="Times New Roman;serif"/>
          <w:b w:val="false"/>
          <w:i/>
          <w:color w:val="000000"/>
          <w:sz w:val="22"/>
        </w:rPr>
        <w:t>. Limoneira undertakes no obligation to subsequently update or revise the forward-looking statements made in this press release,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CONSOLIDATED BALANCE SHEETS (UNAUDITED)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7"/>
        <w:gridCol w:w="2321"/>
        <w:gridCol w:w="2328"/>
        <w:gridCol w:w="201"/>
        <w:gridCol w:w="757"/>
        <w:gridCol w:w="112"/>
        <w:gridCol w:w="109"/>
        <w:gridCol w:w="109"/>
        <w:gridCol w:w="109"/>
        <w:gridCol w:w="223"/>
        <w:gridCol w:w="839"/>
        <w:gridCol w:w="180"/>
      </w:tblGrid>
      <w:tr>
        <w:trPr/>
        <w:tc>
          <w:tcPr>
            <w:tcW w:w="2917"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569" w:type="dxa"/>
            <w:gridSpan w:val="6"/>
            <w:tcBorders/>
          </w:tcPr>
          <w:p>
            <w:pPr>
              <w:pStyle w:val="TableContents"/>
              <w:bidi w:val="0"/>
              <w:spacing w:before="0" w:after="283"/>
              <w:jc w:val="left"/>
              <w:rPr>
                <w:sz w:val="4"/>
                <w:szCs w:val="4"/>
              </w:rPr>
            </w:pPr>
            <w:r>
              <w:rPr>
                <w:sz w:val="4"/>
                <w:szCs w:val="4"/>
              </w:rPr>
            </w:r>
          </w:p>
        </w:tc>
      </w:tr>
      <w:tr>
        <w:trPr/>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2025</w:t>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Cultural costs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Receivables/other from related parties,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development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investments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Growers and suppliers payable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related parties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Stock – $100.00 par value (50,000 shares authorized: 13,311 and 14,790 shares issued and outstanding at July 31, 2026 and October 31, 2025, respectively) (8.75% coupon rate)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B-2 Convertible Preferred Stock – $100.00 par value (10,000 shares authorized: 9,300 shares issued and outstanding at July 31, 2026 and October 31, 2025) (4% dividend rate on liquidation value of $1,000 per share)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Junior Participating Preferred Stock – $0.01 par value (20,000 shares authorized: zero issued or outstanding at July 31, 2026 and October 31, 2025)</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(39,000,000 shares authorized: 18,382,984 and 18,287,868 shares issued and 18,132,007 and 18,036,891 shares outstanding at July 31, 2026 and October 31, 2025,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250,977 shares at July 31, 2026 and October 31, 2025</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180,027 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LIMONEIRA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before="0" w:after="0"/>
        <w:jc w:val="center"/>
        <w:rPr/>
      </w:pPr>
      <w:r>
        <w:rPr/>
      </w:r>
    </w:p>
    <w:tbl>
      <w:tblPr>
        <w:tblW w:w="9826" w:type="dxa"/>
        <w:jc w:val="center"/>
        <w:tblInd w:w="0" w:type="dxa"/>
        <w:tblLayout w:type="fixed"/>
        <w:tblCellMar>
          <w:top w:w="28" w:type="dxa"/>
          <w:left w:w="28" w:type="dxa"/>
          <w:bottom w:w="28" w:type="dxa"/>
          <w:right w:w="28" w:type="dxa"/>
        </w:tblCellMar>
      </w:tblPr>
      <w:tblGrid>
        <w:gridCol w:w="1590"/>
        <w:gridCol w:w="1400"/>
        <w:gridCol w:w="1405"/>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196"/>
        <w:gridCol w:w="736"/>
        <w:gridCol w:w="109"/>
        <w:gridCol w:w="109"/>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849" w:type="dxa"/>
            <w:gridSpan w:val="10"/>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Agribusiness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sales of water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patronage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(losses) of investments,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benefit (provision)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Limoneira Company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common stock</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Due to significant depreciable assets associated with the nature of the Company</w:t>
      </w:r>
      <w:r>
        <w:rPr>
          <w:color w:val="000000"/>
        </w:rPr>
        <w:t>’</w:t>
      </w:r>
      <w:r>
        <w:rPr>
          <w:rFonts w:ascii="Times New Roman;serif" w:hAnsi="Times New Roman;serif"/>
          <w:b w:val="false"/>
          <w:color w:val="000000"/>
          <w:sz w:val="20"/>
        </w:rPr>
        <w:t>s operations and interest costs associated with the Company's capital structure, management believes that earnings before interest, income taxes, depreciation and amortization (</w:t>
      </w:r>
      <w:r>
        <w:rPr>
          <w:color w:val="000000"/>
        </w:rPr>
        <w:t>“</w:t>
      </w:r>
      <w:r>
        <w:rPr>
          <w:rFonts w:ascii="Times New Roman;serif" w:hAnsi="Times New Roman;serif"/>
          <w:b w:val="false"/>
          <w:color w:val="000000"/>
          <w:sz w:val="20"/>
        </w:rPr>
        <w:t>EBITDA</w:t>
      </w:r>
      <w:r>
        <w:rPr>
          <w:color w:val="000000"/>
        </w:rPr>
        <w:t>”</w:t>
      </w:r>
      <w:r>
        <w:rPr>
          <w:rFonts w:ascii="Times New Roman;serif" w:hAnsi="Times New Roman;serif"/>
          <w:b w:val="false"/>
          <w:color w:val="000000"/>
          <w:sz w:val="20"/>
        </w:rPr>
        <w:t>) and adjusted EBITDA, which excludes stock-based compensation, impairment of assets, loss and expected loss on disposal of assets, net and foreign currency gains or losses, are important measures to evaluate the Company's results of operations between periods on a more comparable basis. Beginning in fiscal year 2026, adjusted EBITDA excludes foreign currency gains or losses, as management believes this is a better representation of cash generated by operations. Foreign currency losses were immaterial in fiscal year 2025 and, therefore, were not separately adjusted. Such measurements are not prepared in accordance with U.S. generally accepted accounting principles (</w:t>
      </w:r>
      <w:r>
        <w:rPr>
          <w:color w:val="000000"/>
        </w:rPr>
        <w:t>“</w:t>
      </w:r>
      <w:r>
        <w:rPr>
          <w:rFonts w:ascii="Times New Roman;serif" w:hAnsi="Times New Roman;serif"/>
          <w:b w:val="false"/>
          <w:color w:val="000000"/>
          <w:sz w:val="20"/>
        </w:rPr>
        <w:t>GAAP</w:t>
      </w:r>
      <w:r>
        <w:rPr>
          <w:color w:val="000000"/>
        </w:rPr>
        <w:t>”</w:t>
      </w:r>
      <w:r>
        <w:rPr>
          <w:rFonts w:ascii="Times New Roman;serif" w:hAnsi="Times New Roman;serif"/>
          <w:b w:val="false"/>
          <w:color w:val="000000"/>
          <w:sz w:val="20"/>
        </w:rPr>
        <w:t>) and should not be construed as an alternative to reported results determined in accordance with GAAP. The non-GAAP information provided is unique to the Company and may not be consistent with methodologies used by other companies.</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EBITDA and adjusted EBITDA are summarized and reconciled to net loss attributable to Limoneira Company, which management considers to be the most directly comparable financial measure calculated and presented in accordance with GAAP, as follows (in thousands):</w:t>
      </w:r>
    </w:p>
    <w:tbl>
      <w:tblPr>
        <w:tblW w:w="8355" w:type="dxa"/>
        <w:jc w:val="left"/>
        <w:tblInd w:w="0" w:type="dxa"/>
        <w:tblLayout w:type="fixed"/>
        <w:tblCellMar>
          <w:top w:w="28" w:type="dxa"/>
          <w:left w:w="28" w:type="dxa"/>
          <w:bottom w:w="28" w:type="dxa"/>
          <w:right w:w="28" w:type="dxa"/>
        </w:tblCellMar>
      </w:tblPr>
      <w:tblGrid>
        <w:gridCol w:w="1292"/>
        <w:gridCol w:w="1137"/>
        <w:gridCol w:w="1141"/>
        <w:gridCol w:w="196"/>
        <w:gridCol w:w="631"/>
        <w:gridCol w:w="109"/>
        <w:gridCol w:w="109"/>
        <w:gridCol w:w="109"/>
        <w:gridCol w:w="109"/>
        <w:gridCol w:w="196"/>
        <w:gridCol w:w="556"/>
        <w:gridCol w:w="109"/>
        <w:gridCol w:w="109"/>
        <w:gridCol w:w="109"/>
        <w:gridCol w:w="109"/>
        <w:gridCol w:w="196"/>
        <w:gridCol w:w="721"/>
        <w:gridCol w:w="109"/>
        <w:gridCol w:w="109"/>
        <w:gridCol w:w="109"/>
        <w:gridCol w:w="109"/>
        <w:gridCol w:w="196"/>
        <w:gridCol w:w="631"/>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Limoneira Company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Interest expense, net of patronage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EBITDA</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Foreign currency (gains)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loss attributable to Limoneira Company to adjusted net loss for diluted EPS (in thousands, except per share data):</w:t>
      </w:r>
    </w:p>
    <w:tbl>
      <w:tblPr>
        <w:tblW w:w="9524" w:type="dxa"/>
        <w:jc w:val="center"/>
        <w:tblInd w:w="0" w:type="dxa"/>
        <w:tblLayout w:type="fixed"/>
        <w:tblCellMar>
          <w:top w:w="28" w:type="dxa"/>
          <w:left w:w="28" w:type="dxa"/>
          <w:bottom w:w="28" w:type="dxa"/>
          <w:right w:w="28" w:type="dxa"/>
        </w:tblCellMar>
      </w:tblPr>
      <w:tblGrid>
        <w:gridCol w:w="1720"/>
        <w:gridCol w:w="1514"/>
        <w:gridCol w:w="1520"/>
        <w:gridCol w:w="196"/>
        <w:gridCol w:w="631"/>
        <w:gridCol w:w="109"/>
        <w:gridCol w:w="109"/>
        <w:gridCol w:w="109"/>
        <w:gridCol w:w="109"/>
        <w:gridCol w:w="196"/>
        <w:gridCol w:w="541"/>
        <w:gridCol w:w="109"/>
        <w:gridCol w:w="109"/>
        <w:gridCol w:w="109"/>
        <w:gridCol w:w="109"/>
        <w:gridCol w:w="196"/>
        <w:gridCol w:w="721"/>
        <w:gridCol w:w="109"/>
        <w:gridCol w:w="109"/>
        <w:gridCol w:w="109"/>
        <w:gridCol w:w="109"/>
        <w:gridCol w:w="196"/>
        <w:gridCol w:w="631"/>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July 31,</w:t>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2661" w:type="dxa"/>
            <w:gridSpan w:val="12"/>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Limoneira Company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Effect of preferred stock and unvested, restricted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Impairment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Loss and expected loss on disposal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Foreign currency (gains)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Tax effect of adjustments at federal and state rates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Adjusted net income (loss) for diluted EPS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Diluted net loss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Adjusted diluted net income (loss) per common share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Weighted-average common shares outstanding - diluted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Adjusted weighted-average common shares outstanding - diluted </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69"/>
        <w:gridCol w:w="1355"/>
        <w:gridCol w:w="1361"/>
        <w:gridCol w:w="244"/>
        <w:gridCol w:w="807"/>
        <w:gridCol w:w="136"/>
        <w:gridCol w:w="244"/>
        <w:gridCol w:w="807"/>
        <w:gridCol w:w="136"/>
        <w:gridCol w:w="244"/>
        <w:gridCol w:w="695"/>
        <w:gridCol w:w="136"/>
        <w:gridCol w:w="271"/>
        <w:gridCol w:w="583"/>
        <w:gridCol w:w="152"/>
        <w:gridCol w:w="251"/>
        <w:gridCol w:w="807"/>
        <w:gridCol w:w="136"/>
        <w:gridCol w:w="109"/>
        <w:gridCol w:w="162"/>
      </w:tblGrid>
      <w:tr>
        <w:trPr/>
        <w:tc>
          <w:tcPr>
            <w:tcW w:w="156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Agribusiness Segment Information for the Three Months Ended July 31, 2026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Fresh</w:t>
              <w:br/>
              <w:t>Lemons</w:t>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Lemon</w:t>
              <w:br/>
              <w:t>Packing</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br/>
              <w:t>Avocados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Other</w:t>
              <w:br/>
              <w:t>Agribusiness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b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from external customers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17,864 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Costs and expenses, excluding depreciation and amortization:</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Labor and benefits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Packing supplies and fruit treatments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Harvest costs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Growing costs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Third party grower and supplier costs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Other segment items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Total costs and expenses, excluding depreciation and amortization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7"/>
              </w:rPr>
            </w:pPr>
            <w:r>
              <w:rPr>
                <w:rFonts w:ascii="Times New Roman;serif" w:hAnsi="Times New Roman;serif"/>
                <w:b w:val="false"/>
                <w:color w:val="000000"/>
                <w:sz w:val="17"/>
              </w:rPr>
              <w:t>Operating income</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4,913 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2"/>
        <w:gridCol w:w="1370"/>
        <w:gridCol w:w="1375"/>
        <w:gridCol w:w="239"/>
        <w:gridCol w:w="790"/>
        <w:gridCol w:w="133"/>
        <w:gridCol w:w="239"/>
        <w:gridCol w:w="790"/>
        <w:gridCol w:w="133"/>
        <w:gridCol w:w="239"/>
        <w:gridCol w:w="679"/>
        <w:gridCol w:w="133"/>
        <w:gridCol w:w="244"/>
        <w:gridCol w:w="689"/>
        <w:gridCol w:w="133"/>
        <w:gridCol w:w="244"/>
        <w:gridCol w:w="791"/>
        <w:gridCol w:w="133"/>
        <w:gridCol w:w="109"/>
        <w:gridCol w:w="160"/>
      </w:tblGrid>
      <w:tr>
        <w:trPr/>
        <w:tc>
          <w:tcPr>
            <w:tcW w:w="158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Agribusiness Segment Information for the Three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Fresh</w:t>
              <w:br/>
              <w:t>Lemons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Lemon</w:t>
              <w:br/>
              <w:t>Packing</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br/>
              <w:t>Avocados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Other</w:t>
              <w:br/>
              <w:t>Agribusiness</w:t>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b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from external customers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8,488 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Costs and expenses, excluding depreciation and amortization:</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Labor and benefits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Packing supplies and fruit treatments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Harvest costs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Growing costs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Third party grower and supplier costs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segment items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costs and expenses, excluding depreciation and amortization</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20,805 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7"/>
              </w:rPr>
            </w:pPr>
            <w:r>
              <w:rPr>
                <w:rFonts w:ascii="Times New Roman;serif" w:hAnsi="Times New Roman;serif"/>
                <w:b w:val="false"/>
                <w:color w:val="000000"/>
                <w:sz w:val="17"/>
              </w:rPr>
              <w:t>Operating income (loss)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(1,175)</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thousands, except acres and average price amounts):</w:t>
      </w:r>
    </w:p>
    <w:p>
      <w:pPr>
        <w:pStyle w:val="TextBody"/>
        <w:bidi w:val="0"/>
        <w:spacing w:before="0" w:after="0"/>
        <w:jc w:val="both"/>
        <w:rPr/>
      </w:pPr>
      <w:r>
        <w:rPr/>
      </w:r>
    </w:p>
    <w:tbl>
      <w:tblPr>
        <w:tblW w:w="8871" w:type="dxa"/>
        <w:jc w:val="center"/>
        <w:tblInd w:w="0" w:type="dxa"/>
        <w:tblLayout w:type="fixed"/>
        <w:tblCellMar>
          <w:top w:w="28" w:type="dxa"/>
          <w:left w:w="28" w:type="dxa"/>
          <w:bottom w:w="28" w:type="dxa"/>
          <w:right w:w="28" w:type="dxa"/>
        </w:tblCellMar>
      </w:tblPr>
      <w:tblGrid>
        <w:gridCol w:w="1032"/>
        <w:gridCol w:w="908"/>
        <w:gridCol w:w="910"/>
        <w:gridCol w:w="196"/>
        <w:gridCol w:w="646"/>
        <w:gridCol w:w="109"/>
        <w:gridCol w:w="196"/>
        <w:gridCol w:w="646"/>
        <w:gridCol w:w="109"/>
        <w:gridCol w:w="109"/>
        <w:gridCol w:w="109"/>
        <w:gridCol w:w="109"/>
        <w:gridCol w:w="614"/>
        <w:gridCol w:w="614"/>
        <w:gridCol w:w="617"/>
        <w:gridCol w:w="196"/>
        <w:gridCol w:w="646"/>
        <w:gridCol w:w="109"/>
        <w:gridCol w:w="196"/>
        <w:gridCol w:w="64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Lemons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Lemon Packing</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2026</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2025</w:t>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United States: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Cartons packed and sold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Acres harvested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Limoneira cartons sold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Direct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Third-party grower cartons sold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price per carton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Avocados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2026</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Chile: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Pounds sold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Lemon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price per pound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40-pound carton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Pack handling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Lemon by-product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Brokered lemons and other lemon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Agribusiness 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2026</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Q3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Packing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Harvest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Growing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Third-party grower and supplier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Agribusiness costs and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5041</Words>
  <Characters>27994</Characters>
  <CharactersWithSpaces>32626</CharactersWithSpaces>
  <Paragraphs>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