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UNITED STATES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AND EXCHANGE COMMISSION</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Washington, D.C. 20549</w:t>
      </w:r>
    </w:p>
    <w:tbl>
      <w:tblPr>
        <w:tblW w:w="1740" w:type="dxa"/>
        <w:jc w:val="center"/>
        <w:tblInd w:w="0" w:type="dxa"/>
        <w:tblLayout w:type="fixed"/>
        <w:tblCellMar>
          <w:top w:w="28" w:type="dxa"/>
          <w:left w:w="28" w:type="dxa"/>
          <w:bottom w:w="28" w:type="dxa"/>
          <w:right w:w="28" w:type="dxa"/>
        </w:tblCellMar>
      </w:tblPr>
      <w:tblGrid>
        <w:gridCol w:w="556"/>
        <w:gridCol w:w="490"/>
        <w:gridCol w:w="694"/>
      </w:tblGrid>
      <w:tr>
        <w:trPr/>
        <w:tc>
          <w:tcPr>
            <w:tcW w:w="55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FORM 10-Q</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80"/>
        <w:jc w:val="center"/>
        <w:rPr/>
      </w:pPr>
      <w:r>
        <w:rPr>
          <w:rFonts w:ascii="Times New Roman;serif" w:hAnsi="Times New Roman;serif"/>
          <w:b/>
          <w:color w:val="000000"/>
          <w:sz w:val="18"/>
        </w:rPr>
        <w:t>For The Quarterly Period Ended</w:t>
      </w:r>
      <w:r>
        <w:rPr>
          <w:color w:val="000000"/>
        </w:rPr>
        <w:t xml:space="preserve"> </w:t>
      </w:r>
      <w:r>
        <w:rPr>
          <w:rFonts w:ascii="Times New Roman;serif" w:hAnsi="Times New Roman;serif"/>
          <w:b/>
          <w:color w:val="000000"/>
          <w:sz w:val="28"/>
        </w:rPr>
        <w:t>July 31, 2026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88" w:before="0" w:after="160"/>
        <w:jc w:val="center"/>
        <w:rPr/>
      </w:pPr>
      <w:r>
        <w:rPr>
          <w:rFonts w:ascii="Times New Roman;serif" w:hAnsi="Times New Roman;serif"/>
          <w:b/>
          <w:color w:val="000000"/>
          <w:sz w:val="18"/>
        </w:rPr>
        <w:t>Commission File Number: 001-347</w:t>
      </w:r>
      <w:r>
        <w:rPr>
          <w:rFonts w:ascii="Times New Roman;serif" w:hAnsi="Times New Roman;serif"/>
          <w:b/>
          <w:color w:val="000000"/>
          <w:sz w:val="20"/>
        </w:rPr>
        <w:t>55</w:t>
      </w:r>
    </w:p>
    <w:tbl>
      <w:tblPr>
        <w:tblW w:w="5639" w:type="dxa"/>
        <w:jc w:val="center"/>
        <w:tblInd w:w="0" w:type="dxa"/>
        <w:tblLayout w:type="fixed"/>
        <w:tblCellMar>
          <w:top w:w="28" w:type="dxa"/>
          <w:left w:w="28" w:type="dxa"/>
          <w:bottom w:w="28" w:type="dxa"/>
          <w:right w:w="28" w:type="dxa"/>
        </w:tblCellMar>
      </w:tblPr>
      <w:tblGrid>
        <w:gridCol w:w="1806"/>
        <w:gridCol w:w="1587"/>
        <w:gridCol w:w="2246"/>
      </w:tblGrid>
      <w:tr>
        <w:trPr/>
        <w:tc>
          <w:tcPr>
            <w:tcW w:w="1806"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48"/>
              </w:rPr>
            </w:pPr>
            <w:r>
              <w:rPr>
                <w:rFonts w:ascii="Times New Roman;serif" w:hAnsi="Times New Roman;serif"/>
                <w:b/>
                <w:color w:val="000000"/>
                <w:sz w:val="48"/>
              </w:rPr>
              <w:t>LIMONEIRA COMPANY</w:t>
            </w:r>
          </w:p>
        </w:tc>
      </w:tr>
      <w:tr>
        <w:trPr/>
        <w:tc>
          <w:tcPr>
            <w:tcW w:w="56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c>
      </w:tr>
    </w:tbl>
    <w:tbl>
      <w:tblPr>
        <w:tblW w:w="7350" w:type="dxa"/>
        <w:jc w:val="left"/>
        <w:tblInd w:w="0" w:type="dxa"/>
        <w:tblLayout w:type="fixed"/>
        <w:tblCellMar>
          <w:top w:w="28" w:type="dxa"/>
          <w:left w:w="28" w:type="dxa"/>
          <w:bottom w:w="28" w:type="dxa"/>
          <w:right w:w="28" w:type="dxa"/>
        </w:tblCellMar>
      </w:tblPr>
      <w:tblGrid>
        <w:gridCol w:w="1560"/>
        <w:gridCol w:w="1374"/>
        <w:gridCol w:w="1386"/>
        <w:gridCol w:w="883"/>
        <w:gridCol w:w="883"/>
        <w:gridCol w:w="1264"/>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77-0260692</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bl>
    <w:tbl>
      <w:tblPr>
        <w:tblW w:w="3899" w:type="dxa"/>
        <w:jc w:val="left"/>
        <w:tblInd w:w="0" w:type="dxa"/>
        <w:tblLayout w:type="fixed"/>
        <w:tblCellMar>
          <w:top w:w="28" w:type="dxa"/>
          <w:left w:w="28" w:type="dxa"/>
          <w:bottom w:w="28" w:type="dxa"/>
          <w:right w:w="28" w:type="dxa"/>
        </w:tblCellMar>
      </w:tblPr>
      <w:tblGrid>
        <w:gridCol w:w="1248"/>
        <w:gridCol w:w="1096"/>
        <w:gridCol w:w="1555"/>
      </w:tblGrid>
      <w:tr>
        <w:trPr/>
        <w:tc>
          <w:tcPr>
            <w:tcW w:w="124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1141 Cummings Road</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Santa Paula, CA 93060</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and zip code)</w:t>
            </w:r>
          </w:p>
        </w:tc>
      </w:tr>
    </w:tbl>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 (805) 525-5541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7393" w:type="dxa"/>
        <w:jc w:val="left"/>
        <w:tblInd w:w="0" w:type="dxa"/>
        <w:tblLayout w:type="fixed"/>
        <w:tblCellMar>
          <w:top w:w="28" w:type="dxa"/>
          <w:left w:w="28" w:type="dxa"/>
          <w:bottom w:w="28" w:type="dxa"/>
          <w:right w:w="28" w:type="dxa"/>
        </w:tblCellMar>
      </w:tblPr>
      <w:tblGrid>
        <w:gridCol w:w="933"/>
        <w:gridCol w:w="821"/>
        <w:gridCol w:w="826"/>
        <w:gridCol w:w="444"/>
        <w:gridCol w:w="444"/>
        <w:gridCol w:w="446"/>
        <w:gridCol w:w="1019"/>
        <w:gridCol w:w="1019"/>
        <w:gridCol w:w="1441"/>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par value $0.01</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LMNR</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The NASDAQ Stock Market LLC</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(NASDAQ Global Select Market)</w:t>
            </w:r>
          </w:p>
        </w:tc>
      </w:tr>
    </w:tbl>
    <w:p>
      <w:pPr>
        <w:pStyle w:val="TextBody"/>
        <w:bidi w:val="0"/>
        <w:spacing w:lineRule="auto" w:line="288" w:before="0" w:after="120"/>
        <w:ind w:left="0" w:right="0" w:firstLine="720"/>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120"/>
        <w:ind w:left="0" w:right="0" w:firstLine="720"/>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857" w:type="dxa"/>
        <w:jc w:val="left"/>
        <w:tblInd w:w="0" w:type="dxa"/>
        <w:tblLayout w:type="fixed"/>
        <w:tblCellMar>
          <w:top w:w="28" w:type="dxa"/>
          <w:left w:w="28" w:type="dxa"/>
          <w:bottom w:w="28" w:type="dxa"/>
          <w:right w:w="28" w:type="dxa"/>
        </w:tblCellMar>
      </w:tblPr>
      <w:tblGrid>
        <w:gridCol w:w="679"/>
        <w:gridCol w:w="597"/>
        <w:gridCol w:w="599"/>
        <w:gridCol w:w="489"/>
        <w:gridCol w:w="489"/>
        <w:gridCol w:w="491"/>
        <w:gridCol w:w="594"/>
        <w:gridCol w:w="594"/>
        <w:gridCol w:w="596"/>
        <w:gridCol w:w="444"/>
        <w:gridCol w:w="444"/>
        <w:gridCol w:w="446"/>
        <w:gridCol w:w="408"/>
        <w:gridCol w:w="408"/>
        <w:gridCol w:w="579"/>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 ☐</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Accelerated filer ☒</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 ☐</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Smaller reporting</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company ☐</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Emerging growth</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company ☐</w:t>
            </w:r>
          </w:p>
        </w:tc>
      </w:tr>
    </w:tbl>
    <w:p>
      <w:pPr>
        <w:pStyle w:val="TextBody"/>
        <w:bidi w:val="0"/>
        <w:spacing w:lineRule="auto" w:line="288" w:before="0" w:after="120"/>
        <w:ind w:left="0" w:right="0" w:firstLine="72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20"/>
        <w:ind w:left="0" w:right="0" w:firstLine="720"/>
        <w:jc w:val="both"/>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August 31, 2026, there were 18,132,007 shares outstanding of the registrant’s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558"/>
        <w:gridCol w:w="3133"/>
        <w:gridCol w:w="3141"/>
        <w:gridCol w:w="109"/>
        <w:gridCol w:w="109"/>
        <w:gridCol w:w="155"/>
      </w:tblGrid>
      <w:tr>
        <w:trPr/>
        <w:tc>
          <w:tcPr>
            <w:tcW w:w="3558" w:type="dxa"/>
            <w:tcBorders/>
            <w:vAlign w:val="center"/>
          </w:tcPr>
          <w:p>
            <w:pPr>
              <w:pStyle w:val="TableContents"/>
              <w:bidi w:val="0"/>
              <w:spacing w:before="0" w:after="283"/>
              <w:jc w:val="left"/>
              <w:rPr>
                <w:sz w:val="4"/>
                <w:szCs w:val="4"/>
              </w:rPr>
            </w:pPr>
            <w:r>
              <w:rPr>
                <w:sz w:val="4"/>
                <w:szCs w:val="4"/>
              </w:rPr>
            </w:r>
          </w:p>
        </w:tc>
        <w:tc>
          <w:tcPr>
            <w:tcW w:w="3133" w:type="dxa"/>
            <w:tcBorders/>
            <w:vAlign w:val="center"/>
          </w:tcPr>
          <w:p>
            <w:pPr>
              <w:pStyle w:val="TableContents"/>
              <w:bidi w:val="0"/>
              <w:spacing w:before="0" w:after="283"/>
              <w:jc w:val="left"/>
              <w:rPr>
                <w:sz w:val="4"/>
                <w:szCs w:val="4"/>
              </w:rPr>
            </w:pPr>
            <w:r>
              <w:rPr>
                <w:sz w:val="4"/>
                <w:szCs w:val="4"/>
              </w:rPr>
            </w:r>
          </w:p>
        </w:tc>
        <w:tc>
          <w:tcPr>
            <w:tcW w:w="3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 FINANCIAL INFORMATION</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fb96007c52f4743b1707327616e9678_22">
              <w:r>
                <w:rPr>
                  <w:rStyle w:val="InternetLink"/>
                  <w:rFonts w:ascii="Times New Roman;serif" w:hAnsi="Times New Roman;serif"/>
                  <w:b w:val="false"/>
                  <w:color w:val="0000FF"/>
                  <w:sz w:val="20"/>
                  <w:u w:val="single"/>
                </w:rPr>
                <w:t>5</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 Financial Statements (Unaudited)</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fb96007c52f4743b1707327616e9678_25">
              <w:r>
                <w:rPr>
                  <w:rStyle w:val="InternetLink"/>
                  <w:rFonts w:ascii="Times New Roman;serif" w:hAnsi="Times New Roman;serif"/>
                  <w:b w:val="false"/>
                  <w:color w:val="0000FF"/>
                  <w:sz w:val="20"/>
                  <w:u w:val="single"/>
                </w:rPr>
                <w:t>5</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 July 31, 2026 and October 31, 2025</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fb96007c52f4743b1707327616e9678_31">
              <w:r>
                <w:rPr>
                  <w:rStyle w:val="InternetLink"/>
                  <w:rFonts w:ascii="Times New Roman;serif" w:hAnsi="Times New Roman;serif"/>
                  <w:b w:val="false"/>
                  <w:color w:val="0000FF"/>
                  <w:sz w:val="20"/>
                  <w:u w:val="single"/>
                </w:rPr>
                <w:t>5</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Operations – three and nine months ended July 31, 2026 and 2025</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fb96007c52f4743b1707327616e9678_37">
              <w:r>
                <w:rPr>
                  <w:rStyle w:val="InternetLink"/>
                  <w:rFonts w:ascii="Times New Roman;serif" w:hAnsi="Times New Roman;serif"/>
                  <w:b w:val="false"/>
                  <w:color w:val="0000FF"/>
                  <w:sz w:val="20"/>
                  <w:u w:val="single"/>
                </w:rPr>
                <w:t>6</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Loss – three and nine months ended July 31, 2026 and 2025</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fb96007c52f4743b1707327616e9678_40">
              <w:r>
                <w:rPr>
                  <w:rStyle w:val="InternetLink"/>
                  <w:rFonts w:ascii="Times New Roman;serif" w:hAnsi="Times New Roman;serif"/>
                  <w:b w:val="false"/>
                  <w:color w:val="0000FF"/>
                  <w:sz w:val="20"/>
                  <w:u w:val="single"/>
                </w:rPr>
                <w:t>7</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Stockholders’ Equity and Temporary Equity – three and nine months ended July 31, 2026 and 2025</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fb96007c52f4743b1707327616e9678_46">
              <w:r>
                <w:rPr>
                  <w:rStyle w:val="InternetLink"/>
                  <w:rFonts w:ascii="Times New Roman;serif" w:hAnsi="Times New Roman;serif"/>
                  <w:b w:val="false"/>
                  <w:color w:val="0000FF"/>
                  <w:sz w:val="20"/>
                  <w:u w:val="single"/>
                </w:rPr>
                <w:t>8</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 nine months ended July 31, 2026 and 2025</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fb96007c52f4743b1707327616e9678_52">
              <w:r>
                <w:rPr>
                  <w:rStyle w:val="InternetLink"/>
                  <w:rFonts w:ascii="Times New Roman;serif" w:hAnsi="Times New Roman;serif"/>
                  <w:b w:val="false"/>
                  <w:color w:val="0000FF"/>
                  <w:sz w:val="20"/>
                  <w:u w:val="single"/>
                </w:rPr>
                <w:t>10</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fb96007c52f4743b1707327616e9678_58">
              <w:r>
                <w:rPr>
                  <w:rStyle w:val="InternetLink"/>
                  <w:rFonts w:ascii="Times New Roman;serif" w:hAnsi="Times New Roman;serif"/>
                  <w:b w:val="false"/>
                  <w:color w:val="0000FF"/>
                  <w:sz w:val="20"/>
                  <w:u w:val="single"/>
                </w:rPr>
                <w:t>12</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 Management’s Discussion and Analysis of Financial Condition and Results of Operations</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fb96007c52f4743b1707327616e9678_373">
              <w:r>
                <w:rPr>
                  <w:rStyle w:val="InternetLink"/>
                  <w:rFonts w:ascii="Times New Roman;serif" w:hAnsi="Times New Roman;serif"/>
                  <w:b w:val="false"/>
                  <w:color w:val="0000FF"/>
                  <w:sz w:val="20"/>
                  <w:u w:val="single"/>
                </w:rPr>
                <w:t>30</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 Quantitative and Qualitative Disclosures about Market Risk</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fb96007c52f4743b1707327616e9678_529">
              <w:r>
                <w:rPr>
                  <w:rStyle w:val="InternetLink"/>
                  <w:rFonts w:ascii="Times New Roman;serif" w:hAnsi="Times New Roman;serif"/>
                  <w:b w:val="false"/>
                  <w:color w:val="0000FF"/>
                  <w:sz w:val="20"/>
                  <w:u w:val="single"/>
                </w:rPr>
                <w:t>48</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 Controls and Procedures</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fb96007c52f4743b1707327616e9678_535">
              <w:r>
                <w:rPr>
                  <w:rStyle w:val="InternetLink"/>
                  <w:rFonts w:ascii="Times New Roman;serif" w:hAnsi="Times New Roman;serif"/>
                  <w:b w:val="false"/>
                  <w:color w:val="0000FF"/>
                  <w:sz w:val="20"/>
                  <w:u w:val="single"/>
                </w:rPr>
                <w:t>48</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 OTHER INFORMATION</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fb96007c52f4743b1707327616e9678_547">
              <w:r>
                <w:rPr>
                  <w:rStyle w:val="InternetLink"/>
                  <w:rFonts w:ascii="Times New Roman;serif" w:hAnsi="Times New Roman;serif"/>
                  <w:b w:val="false"/>
                  <w:color w:val="0000FF"/>
                  <w:sz w:val="20"/>
                  <w:u w:val="single"/>
                </w:rPr>
                <w:t>49</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 Legal Proceedings</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fb96007c52f4743b1707327616e9678_550">
              <w:r>
                <w:rPr>
                  <w:rStyle w:val="InternetLink"/>
                  <w:rFonts w:ascii="Times New Roman;serif" w:hAnsi="Times New Roman;serif"/>
                  <w:b w:val="false"/>
                  <w:color w:val="0000FF"/>
                  <w:sz w:val="20"/>
                  <w:u w:val="single"/>
                </w:rPr>
                <w:t>49</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 Risk Factors</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fb96007c52f4743b1707327616e9678_553">
              <w:r>
                <w:rPr>
                  <w:rStyle w:val="InternetLink"/>
                  <w:rFonts w:ascii="Times New Roman;serif" w:hAnsi="Times New Roman;serif"/>
                  <w:b w:val="false"/>
                  <w:color w:val="0000FF"/>
                  <w:sz w:val="20"/>
                  <w:u w:val="single"/>
                </w:rPr>
                <w:t>49</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 Unregistered Sales of Equity Securities and Use of Proceeds</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fb96007c52f4743b1707327616e9678_556">
              <w:r>
                <w:rPr>
                  <w:rStyle w:val="InternetLink"/>
                  <w:rFonts w:ascii="Times New Roman;serif" w:hAnsi="Times New Roman;serif"/>
                  <w:b w:val="false"/>
                  <w:color w:val="0000FF"/>
                  <w:sz w:val="20"/>
                  <w:u w:val="single"/>
                </w:rPr>
                <w:t>49</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 Defaults Upon Senior Securities</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fb96007c52f4743b1707327616e9678_562">
              <w:r>
                <w:rPr>
                  <w:rStyle w:val="InternetLink"/>
                  <w:rFonts w:ascii="Times New Roman;serif" w:hAnsi="Times New Roman;serif"/>
                  <w:b w:val="false"/>
                  <w:color w:val="0000FF"/>
                  <w:sz w:val="20"/>
                  <w:u w:val="single"/>
                </w:rPr>
                <w:t>49</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 Mine Safety Disclosures</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fb96007c52f4743b1707327616e9678_565">
              <w:r>
                <w:rPr>
                  <w:rStyle w:val="InternetLink"/>
                  <w:rFonts w:ascii="Times New Roman;serif" w:hAnsi="Times New Roman;serif"/>
                  <w:b w:val="false"/>
                  <w:color w:val="0000FF"/>
                  <w:sz w:val="20"/>
                  <w:u w:val="single"/>
                </w:rPr>
                <w:t>49</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 Other Information</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fb96007c52f4743b1707327616e9678_568">
              <w:r>
                <w:rPr>
                  <w:rStyle w:val="InternetLink"/>
                  <w:rFonts w:ascii="Times New Roman;serif" w:hAnsi="Times New Roman;serif"/>
                  <w:b w:val="false"/>
                  <w:color w:val="0000FF"/>
                  <w:sz w:val="20"/>
                  <w:u w:val="single"/>
                </w:rPr>
                <w:t>49</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 Exhibits</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fb96007c52f4743b1707327616e9678_577">
              <w:r>
                <w:rPr>
                  <w:rStyle w:val="InternetLink"/>
                  <w:rFonts w:ascii="Times New Roman;serif" w:hAnsi="Times New Roman;serif"/>
                  <w:b w:val="false"/>
                  <w:color w:val="0000FF"/>
                  <w:sz w:val="20"/>
                  <w:u w:val="single"/>
                </w:rPr>
                <w:t>50</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fb96007c52f4743b1707327616e9678_583">
              <w:r>
                <w:rPr>
                  <w:rStyle w:val="InternetLink"/>
                  <w:rFonts w:ascii="Times New Roman;serif" w:hAnsi="Times New Roman;serif"/>
                  <w:b w:val="false"/>
                  <w:color w:val="0000FF"/>
                  <w:sz w:val="20"/>
                  <w:u w:val="single"/>
                </w:rPr>
                <w:t>52</w:t>
              </w:r>
            </w:hyperlink>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(this “Quarterly Report”) contains statements which, to the extent that they do not recite historical fact, constitute forward-looking statements. These statements can be identified by the fact that they do not relate strictly to historical or current facts and may include the words “may,” “might,” “will,” “should,” “would,” “expect,” “plan,” “anticipate,” “could,” “intend,” “target,” “project,” “contemplate,” “believe,” “estimate,” “predict,” “likely,” “potential,” “remain,” or “continue” or other words or expressions of similar meaning. We based these forward-looking statements on our current expectations about future events, and such forward-looking statements do not guarantee future performance. The forward-looking statements include statements that reflect management’s current beliefs, plans, objectives, goals, expectations, anticipations and intentions with respect to our financial condition, results of operations, future performance and business, including, but not limited to, statements relating to our business strategy and our current and future development plans.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potential risks and uncertainties that could cause our actual financial condition, results of operations and future performance to differ materially from those expressed or implied in this Quarterly Report include, but are not limited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success in executing the Company’s business plans and strategies, and managing the risks involved in the foregoing, including:</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proposed sale of Windfall Farms, subject to customary closing conditions, and the anticipated benefits of such sale;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future monetization of water rights and non-strategic land assets;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achievement of selling, general and administrative expense savings;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ongoing transition of the Company's lemon sales and marketing operations to Sunkist Growers Inc. and the ability of the transition to improve efficiency and reduce costs; and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Company may not realize the anticipated benefits and earnings of the newly formed joint venture with Agromin.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laws, regulations, rules, quotas, tariffs and import laws;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adverse weather conditions, natural disasters and other adverse natural conditions, including freezes, rains, fires, winds and droughts that affect the production, transportation, storage, import and export of fresh produce;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market responses to industry volume pressures;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increased pressure from crop disease, insects and other pests;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disruption of water supplies or changes in water allocations;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disruption in the global supply chain;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product and raw materials supply and pricing;</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energy supply and pricing;</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market response to industry volume pressures;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inability to pay debt obligations;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ability to maintain compliance with debt covenants under our loan agreements or obtain modifications, waivers or deferrals of such covenants;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interest rates and the impact of inflation;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availability of financing for land development activities;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general economic conditions for residential and commercial real estate development;</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political changes and economic crises;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international conflict;</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acts of terrorism;</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labor disruptions, strikes, shortages or work stoppages;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government restrictions on land use;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impact of foreign exchange rate movements;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loss of important intellectual property rights;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market and pricing risks due to concentrated ownership of stock;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other factors disclosed in our public filings with the Securities and Exchange Commission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involve risks and uncertainties that we have identified as having the potential to cause actual results to differ materially from those contemplated herein. We have described in Part I, Item 1A Risk Factors in our Annual Report on Form 10-K for the fiscal year ended October 31, 2025 additional factors that could cause our actual results to differ from our projections or estimates.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Company’s actual results, performance, prospects or opportunities could differ materially from those expressed in or implied by the forward-looking statements. Additional risks of which the Company is not currently aware or which the Company currently deems immaterial could also cause the Company’s actual results to differ, including those discussed in the section entitled “Risk Factors” included in our Annual Report on Form 10-K for the fiscal year ended October 31, 2025. We cannot guarantee future results, levels of activity, performance or achievements. You should not place undue reliance on these forward-looking statements, which apply only as of the date of this Quarterly Report. We undertake no obligation to publicly update or revise any forward-looking statements, whether as a result of new information, future events or otherwise, except as required by law.</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 xml:space="preserve">Unless the context requires otherwise, all references to “we,” “us,” “our,” “our Company,” “the Company” or “Limoneira” in this Quarterly Report mean Limoneira Company, a Delaware corporation, and its consolidated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u w:val="single"/>
        </w:rPr>
      </w:pPr>
      <w:r>
        <w:rPr>
          <w:rFonts w:ascii="Times New Roman;serif" w:hAnsi="Times New Roman;serif"/>
          <w:b/>
          <w:color w:val="000000"/>
          <w:sz w:val="20"/>
          <w:u w:val="single"/>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BALANCE SHEETS (UNAUDITED)</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17"/>
        <w:gridCol w:w="2321"/>
        <w:gridCol w:w="2328"/>
        <w:gridCol w:w="201"/>
        <w:gridCol w:w="757"/>
        <w:gridCol w:w="112"/>
        <w:gridCol w:w="109"/>
        <w:gridCol w:w="109"/>
        <w:gridCol w:w="109"/>
        <w:gridCol w:w="223"/>
        <w:gridCol w:w="839"/>
        <w:gridCol w:w="180"/>
      </w:tblGrid>
      <w:tr>
        <w:trPr/>
        <w:tc>
          <w:tcPr>
            <w:tcW w:w="2917"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56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569" w:type="dxa"/>
            <w:gridSpan w:val="6"/>
            <w:tcBorders/>
          </w:tcPr>
          <w:p>
            <w:pPr>
              <w:pStyle w:val="TableContents"/>
              <w:bidi w:val="0"/>
              <w:spacing w:before="0" w:after="283"/>
              <w:jc w:val="left"/>
              <w:rPr>
                <w:sz w:val="4"/>
                <w:szCs w:val="4"/>
              </w:rPr>
            </w:pPr>
            <w:r>
              <w:rPr>
                <w:sz w:val="4"/>
                <w:szCs w:val="4"/>
              </w:rPr>
            </w:r>
          </w:p>
        </w:tc>
      </w:tr>
      <w:tr>
        <w:trPr/>
        <w:tc>
          <w:tcPr>
            <w:tcW w:w="756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31, 2025</w:t>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Cultural costs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Receivables/other from related parties, net</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39,273 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40,482 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172,645 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development</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investments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72,167 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299,354 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311,137 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Convertible Preferred Stock and Stockholders’ Equity</w:t>
            </w:r>
          </w:p>
        </w:tc>
        <w:tc>
          <w:tcPr>
            <w:tcW w:w="107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Growers and suppliers payable</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to related parties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26,085 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portion</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72,450 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138,184 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120,300 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Commitments and contingencies </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B Convertible Preferred Stock – $100.00 par value (50,000 shares authorized: 13,311 and 14,790 shares issued and outstanding at July 31, 2026 and October 31, 2025, respectively) (8.75% coupon rate)</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B-2 Convertible Preferred Stock – $100.00 par value (10,000 shares authorized: 9,300 shares issued and outstanding at July 31, 2026 and October 31, 2025) (4% dividend rate on liquidation value of $1,000 per share)</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A Junior Participating Preferred Stock – $0.01 par value (20,000 shares authorized: zero issued or outstanding at July 31, 2026 and October 31, 2025)</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$0.01 par value (39,000,000 shares authorized: 18,382,984 and 18,287,868 shares issued and 18,132,007 and 18,036,891 shares outstanding at July 31, 2026 and October 31, 2025, respectively)</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171,365 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(36,393)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250,977 shares at July 31, 2026 and October 31, 2025</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150,508 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180,027 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convertible preferred stock and stockholders’ equity</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299,354 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311,137 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OPERATIONS (UNAUDITED)</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tbl>
      <w:tblPr>
        <w:tblW w:w="9608" w:type="dxa"/>
        <w:jc w:val="center"/>
        <w:tblInd w:w="0" w:type="dxa"/>
        <w:tblLayout w:type="fixed"/>
        <w:tblCellMar>
          <w:top w:w="28" w:type="dxa"/>
          <w:left w:w="28" w:type="dxa"/>
          <w:bottom w:w="28" w:type="dxa"/>
          <w:right w:w="28" w:type="dxa"/>
        </w:tblCellMar>
      </w:tblPr>
      <w:tblGrid>
        <w:gridCol w:w="1590"/>
        <w:gridCol w:w="1400"/>
        <w:gridCol w:w="1405"/>
        <w:gridCol w:w="196"/>
        <w:gridCol w:w="646"/>
        <w:gridCol w:w="109"/>
        <w:gridCol w:w="109"/>
        <w:gridCol w:w="109"/>
        <w:gridCol w:w="109"/>
        <w:gridCol w:w="196"/>
        <w:gridCol w:w="646"/>
        <w:gridCol w:w="109"/>
        <w:gridCol w:w="109"/>
        <w:gridCol w:w="109"/>
        <w:gridCol w:w="109"/>
        <w:gridCol w:w="196"/>
        <w:gridCol w:w="721"/>
        <w:gridCol w:w="109"/>
        <w:gridCol w:w="109"/>
        <w:gridCol w:w="109"/>
        <w:gridCol w:w="109"/>
        <w:gridCol w:w="196"/>
        <w:gridCol w:w="736"/>
        <w:gridCol w:w="109"/>
        <w:gridCol w:w="109"/>
        <w:gridCol w:w="154"/>
      </w:tblGrid>
      <w:tr>
        <w:trPr/>
        <w:tc>
          <w:tcPr>
            <w:tcW w:w="159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2984" w:type="dxa"/>
            <w:gridSpan w:val="14"/>
            <w:tcBorders/>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July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Agribusiness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Agribusiness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sales of water rights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and expected loss on disposal of assets,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Interest income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 of patronage dividends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(losses) of investments,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 benefit (provision)</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(provision)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Limoneira Company</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dividends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applicable to common stock</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loss per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loss per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outstanding-basic</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LOSS (UNAUDITED)</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1762"/>
        <w:gridCol w:w="1519"/>
        <w:gridCol w:w="1547"/>
        <w:gridCol w:w="109"/>
        <w:gridCol w:w="211"/>
        <w:gridCol w:w="659"/>
        <w:gridCol w:w="109"/>
        <w:gridCol w:w="109"/>
        <w:gridCol w:w="109"/>
        <w:gridCol w:w="109"/>
        <w:gridCol w:w="211"/>
        <w:gridCol w:w="659"/>
        <w:gridCol w:w="109"/>
        <w:gridCol w:w="109"/>
        <w:gridCol w:w="109"/>
        <w:gridCol w:w="109"/>
        <w:gridCol w:w="211"/>
        <w:gridCol w:w="764"/>
        <w:gridCol w:w="109"/>
        <w:gridCol w:w="109"/>
        <w:gridCol w:w="109"/>
        <w:gridCol w:w="109"/>
        <w:gridCol w:w="211"/>
        <w:gridCol w:w="659"/>
        <w:gridCol w:w="109"/>
        <w:gridCol w:w="109"/>
        <w:gridCol w:w="157"/>
      </w:tblGrid>
      <w:tr>
        <w:trPr/>
        <w:tc>
          <w:tcPr>
            <w:tcW w:w="176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1572" w:type="dxa"/>
            <w:gridSpan w:val="8"/>
            <w:tcBorders/>
          </w:tcPr>
          <w:p>
            <w:pPr>
              <w:pStyle w:val="TableContents"/>
              <w:bidi w:val="0"/>
              <w:spacing w:before="0" w:after="283"/>
              <w:jc w:val="left"/>
              <w:rPr>
                <w:sz w:val="4"/>
                <w:szCs w:val="4"/>
              </w:rPr>
            </w:pPr>
            <w:r>
              <w:rPr>
                <w:sz w:val="4"/>
                <w:szCs w:val="4"/>
              </w:rPr>
            </w:r>
          </w:p>
        </w:tc>
      </w:tr>
      <w:tr>
        <w:trPr/>
        <w:tc>
          <w:tcPr>
            <w:tcW w:w="4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July 31,</w:t>
            </w:r>
          </w:p>
        </w:tc>
        <w:tc>
          <w:tcPr>
            <w:tcW w:w="266" w:type="dxa"/>
            <w:gridSpan w:val="2"/>
            <w:tcBorders/>
          </w:tcPr>
          <w:p>
            <w:pPr>
              <w:pStyle w:val="TableContents"/>
              <w:bidi w:val="0"/>
              <w:spacing w:before="0" w:after="283"/>
              <w:jc w:val="left"/>
              <w:rPr>
                <w:sz w:val="4"/>
                <w:szCs w:val="4"/>
              </w:rPr>
            </w:pPr>
            <w:r>
              <w:rPr>
                <w:sz w:val="4"/>
                <w:szCs w:val="4"/>
              </w:rPr>
            </w:r>
          </w:p>
        </w:tc>
      </w:tr>
      <w:tr>
        <w:trPr/>
        <w:tc>
          <w:tcPr>
            <w:tcW w:w="4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before reclassification</w:t>
            </w:r>
          </w:p>
        </w:tc>
        <w:tc>
          <w:tcPr>
            <w:tcW w:w="109" w:type="dxa"/>
            <w:tcBorders/>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reclassified to earnings included in 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noncontrolling interests, net</w:t>
            </w:r>
          </w:p>
        </w:tc>
        <w:tc>
          <w:tcPr>
            <w:tcW w:w="109" w:type="dxa"/>
            <w:tcBorders/>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Limoneira Company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STOCKHOLDERS’ EQUITY AND TEMPORARY EQUITY (UNAUDITED)</w:t>
      </w:r>
    </w:p>
    <w:p>
      <w:pPr>
        <w:pStyle w:val="TextBody"/>
        <w:bidi w:val="0"/>
        <w:spacing w:lineRule="auto" w:line="288" w:before="0" w:after="8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tbl>
      <w:tblPr>
        <w:tblW w:w="12605" w:type="dxa"/>
        <w:jc w:val="center"/>
        <w:tblInd w:w="0" w:type="dxa"/>
        <w:tblLayout w:type="fixed"/>
        <w:tblCellMar>
          <w:top w:w="28" w:type="dxa"/>
          <w:left w:w="28" w:type="dxa"/>
          <w:bottom w:w="28" w:type="dxa"/>
          <w:right w:w="28" w:type="dxa"/>
        </w:tblCellMar>
      </w:tblPr>
      <w:tblGrid>
        <w:gridCol w:w="657"/>
        <w:gridCol w:w="181"/>
        <w:gridCol w:w="183"/>
        <w:gridCol w:w="398"/>
        <w:gridCol w:w="398"/>
        <w:gridCol w:w="181"/>
        <w:gridCol w:w="109"/>
        <w:gridCol w:w="109"/>
        <w:gridCol w:w="109"/>
        <w:gridCol w:w="181"/>
        <w:gridCol w:w="361"/>
        <w:gridCol w:w="109"/>
        <w:gridCol w:w="109"/>
        <w:gridCol w:w="109"/>
        <w:gridCol w:w="109"/>
        <w:gridCol w:w="181"/>
        <w:gridCol w:w="616"/>
        <w:gridCol w:w="109"/>
        <w:gridCol w:w="109"/>
        <w:gridCol w:w="109"/>
        <w:gridCol w:w="109"/>
        <w:gridCol w:w="202"/>
        <w:gridCol w:w="621"/>
        <w:gridCol w:w="123"/>
        <w:gridCol w:w="109"/>
        <w:gridCol w:w="109"/>
        <w:gridCol w:w="109"/>
        <w:gridCol w:w="257"/>
        <w:gridCol w:w="683"/>
        <w:gridCol w:w="156"/>
        <w:gridCol w:w="109"/>
        <w:gridCol w:w="109"/>
        <w:gridCol w:w="109"/>
        <w:gridCol w:w="181"/>
        <w:gridCol w:w="481"/>
        <w:gridCol w:w="109"/>
        <w:gridCol w:w="109"/>
        <w:gridCol w:w="109"/>
        <w:gridCol w:w="109"/>
        <w:gridCol w:w="181"/>
        <w:gridCol w:w="541"/>
        <w:gridCol w:w="109"/>
        <w:gridCol w:w="109"/>
        <w:gridCol w:w="109"/>
        <w:gridCol w:w="109"/>
        <w:gridCol w:w="181"/>
        <w:gridCol w:w="616"/>
        <w:gridCol w:w="109"/>
        <w:gridCol w:w="109"/>
        <w:gridCol w:w="109"/>
        <w:gridCol w:w="109"/>
        <w:gridCol w:w="181"/>
        <w:gridCol w:w="466"/>
        <w:gridCol w:w="109"/>
        <w:gridCol w:w="109"/>
        <w:gridCol w:w="109"/>
        <w:gridCol w:w="109"/>
        <w:gridCol w:w="181"/>
        <w:gridCol w:w="466"/>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Temporary Equity</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Additional</w:t>
              <w:br/>
              <w:t>Paid-In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w:t>
              <w:br/>
              <w:t>Other</w:t>
              <w:br/>
              <w:t>Comprehensive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 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Series B</w:t>
              <w:br/>
              <w:t>Preferred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Series B-2</w:t>
              <w:br/>
              <w:t>Preferred</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Stock</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October 31, 2025</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18,036,891 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(6,270)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Common ($0.075 per share)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Series B ($2.19 per share)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Series B-2 ($10 per share)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compensation</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99,173 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Exchange of common stock</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(29,187)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Acquired noncontrolling interest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 adjustments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Net (loss) income </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(9,427)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January 31, 2026</w:t>
            </w:r>
          </w:p>
        </w:tc>
        <w:tc>
          <w:tcPr>
            <w:tcW w:w="9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18,106,877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(11,980)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(5,494)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compensation</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6,642 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 adjustments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(21,420)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April 30, 2026</w:t>
            </w:r>
          </w:p>
        </w:tc>
        <w:tc>
          <w:tcPr>
            <w:tcW w:w="9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18,113,519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(33,400)</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compensation</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Series B to Common</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18,488 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 income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July 31, 2026</w:t>
            </w:r>
          </w:p>
        </w:tc>
        <w:tc>
          <w:tcPr>
            <w:tcW w:w="97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18,132,007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172,123 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(36,393)</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(309)</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150,508 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before="0" w:after="0"/>
        <w:jc w:val="center"/>
        <w:rPr/>
      </w:pPr>
      <w:r>
        <w:rPr/>
      </w:r>
    </w:p>
    <w:tbl>
      <w:tblPr>
        <w:tblW w:w="12490" w:type="dxa"/>
        <w:jc w:val="center"/>
        <w:tblInd w:w="0" w:type="dxa"/>
        <w:tblLayout w:type="fixed"/>
        <w:tblCellMar>
          <w:top w:w="28" w:type="dxa"/>
          <w:left w:w="28" w:type="dxa"/>
          <w:bottom w:w="28" w:type="dxa"/>
          <w:right w:w="28" w:type="dxa"/>
        </w:tblCellMar>
      </w:tblPr>
      <w:tblGrid>
        <w:gridCol w:w="657"/>
        <w:gridCol w:w="181"/>
        <w:gridCol w:w="183"/>
        <w:gridCol w:w="398"/>
        <w:gridCol w:w="398"/>
        <w:gridCol w:w="181"/>
        <w:gridCol w:w="109"/>
        <w:gridCol w:w="109"/>
        <w:gridCol w:w="109"/>
        <w:gridCol w:w="181"/>
        <w:gridCol w:w="361"/>
        <w:gridCol w:w="109"/>
        <w:gridCol w:w="109"/>
        <w:gridCol w:w="109"/>
        <w:gridCol w:w="109"/>
        <w:gridCol w:w="181"/>
        <w:gridCol w:w="616"/>
        <w:gridCol w:w="109"/>
        <w:gridCol w:w="109"/>
        <w:gridCol w:w="109"/>
        <w:gridCol w:w="109"/>
        <w:gridCol w:w="181"/>
        <w:gridCol w:w="541"/>
        <w:gridCol w:w="109"/>
        <w:gridCol w:w="109"/>
        <w:gridCol w:w="109"/>
        <w:gridCol w:w="109"/>
        <w:gridCol w:w="257"/>
        <w:gridCol w:w="683"/>
        <w:gridCol w:w="156"/>
        <w:gridCol w:w="109"/>
        <w:gridCol w:w="109"/>
        <w:gridCol w:w="109"/>
        <w:gridCol w:w="181"/>
        <w:gridCol w:w="481"/>
        <w:gridCol w:w="109"/>
        <w:gridCol w:w="109"/>
        <w:gridCol w:w="109"/>
        <w:gridCol w:w="109"/>
        <w:gridCol w:w="181"/>
        <w:gridCol w:w="541"/>
        <w:gridCol w:w="109"/>
        <w:gridCol w:w="109"/>
        <w:gridCol w:w="109"/>
        <w:gridCol w:w="109"/>
        <w:gridCol w:w="181"/>
        <w:gridCol w:w="616"/>
        <w:gridCol w:w="109"/>
        <w:gridCol w:w="109"/>
        <w:gridCol w:w="109"/>
        <w:gridCol w:w="109"/>
        <w:gridCol w:w="181"/>
        <w:gridCol w:w="466"/>
        <w:gridCol w:w="109"/>
        <w:gridCol w:w="109"/>
        <w:gridCol w:w="109"/>
        <w:gridCol w:w="109"/>
        <w:gridCol w:w="181"/>
        <w:gridCol w:w="466"/>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7"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Temporary Equity</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Additional</w:t>
              <w:br/>
              <w:t>Paid-In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xml:space="preserve">Retained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w:t>
              <w:br/>
              <w:t>Other</w:t>
              <w:br/>
              <w:t>Comprehensive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 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Series B</w:t>
              <w:br/>
              <w:t>Preferred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Series B-2</w:t>
              <w:br/>
              <w:t>Preferred</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Stock</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October 31, 2024</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18,033,171 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191,691 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Common ($0.075 per share)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Series B ($2.19 per share)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Series B-2 ($10 per share)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compensation</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59,087 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Exchange of common stock</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(47,089)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 adjustment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 income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January 31, 2025</w:t>
            </w:r>
          </w:p>
        </w:tc>
        <w:tc>
          <w:tcPr>
            <w:tcW w:w="9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18,045,169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(6,881)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Common ($0.075 per share)</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Series B ($2.19 per share)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Series B-2 ($10 per share)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compensation</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30,540 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Exchange of common stock</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(6,680)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April 30, 2025</w:t>
            </w:r>
          </w:p>
        </w:tc>
        <w:tc>
          <w:tcPr>
            <w:tcW w:w="9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18,069,029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(6,379)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Common ($0.075 per share)</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Series B ($2.19 per share)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Series B-2 ($10 per share)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compensation</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Exchange of common stock</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(20,735)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July 31, 2025</w:t>
            </w:r>
          </w:p>
        </w:tc>
        <w:tc>
          <w:tcPr>
            <w:tcW w:w="97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18,048,294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170,849 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(6,793)</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180,291 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CASH FLOWS (UNAUDITED)</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7771" w:type="dxa"/>
        <w:jc w:val="center"/>
        <w:tblInd w:w="0" w:type="dxa"/>
        <w:tblLayout w:type="fixed"/>
        <w:tblCellMar>
          <w:top w:w="28" w:type="dxa"/>
          <w:left w:w="28" w:type="dxa"/>
          <w:bottom w:w="28" w:type="dxa"/>
          <w:right w:w="28" w:type="dxa"/>
        </w:tblCellMar>
      </w:tblPr>
      <w:tblGrid>
        <w:gridCol w:w="1889"/>
        <w:gridCol w:w="1662"/>
        <w:gridCol w:w="1668"/>
        <w:gridCol w:w="196"/>
        <w:gridCol w:w="721"/>
        <w:gridCol w:w="109"/>
        <w:gridCol w:w="109"/>
        <w:gridCol w:w="109"/>
        <w:gridCol w:w="109"/>
        <w:gridCol w:w="196"/>
        <w:gridCol w:w="631"/>
        <w:gridCol w:w="109"/>
        <w:gridCol w:w="109"/>
        <w:gridCol w:w="154"/>
      </w:tblGrid>
      <w:tr>
        <w:trPr/>
        <w:tc>
          <w:tcPr>
            <w:tcW w:w="1889"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526" w:type="dxa"/>
            <w:gridSpan w:val="8"/>
            <w:tcBorders/>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July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and expected loss on disposal of assets,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reclassified to earnings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sales of water rights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losses (earnings) of investments,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distributions from equity investments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and receivables/other from related parties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Cultural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growers and suppliers payable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 and payables to related parties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 (payable)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sales of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water rights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distributions from Trapani Fresh</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to acquire additional shares of Limco Del Mar</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Collection on notes receivable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 contributions and capitalized interest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distributions from equity investment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mutual water companies and water rights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of long-term debt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long-term debt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paid on finance leases and equipment financings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 common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 preferred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of common stock</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at beginning of period</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at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CASH FLOWS (UNAUDITED) (CONTINUED)</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7066" w:type="dxa"/>
        <w:jc w:val="center"/>
        <w:tblInd w:w="0" w:type="dxa"/>
        <w:tblLayout w:type="fixed"/>
        <w:tblCellMar>
          <w:top w:w="28" w:type="dxa"/>
          <w:left w:w="28" w:type="dxa"/>
          <w:bottom w:w="28" w:type="dxa"/>
          <w:right w:w="28" w:type="dxa"/>
        </w:tblCellMar>
      </w:tblPr>
      <w:tblGrid>
        <w:gridCol w:w="1772"/>
        <w:gridCol w:w="1554"/>
        <w:gridCol w:w="1563"/>
        <w:gridCol w:w="196"/>
        <w:gridCol w:w="556"/>
        <w:gridCol w:w="109"/>
        <w:gridCol w:w="109"/>
        <w:gridCol w:w="109"/>
        <w:gridCol w:w="109"/>
        <w:gridCol w:w="196"/>
        <w:gridCol w:w="421"/>
        <w:gridCol w:w="109"/>
        <w:gridCol w:w="109"/>
        <w:gridCol w:w="154"/>
      </w:tblGrid>
      <w:tr>
        <w:trPr/>
        <w:tc>
          <w:tcPr>
            <w:tcW w:w="1772"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316" w:type="dxa"/>
            <w:gridSpan w:val="8"/>
            <w:tcBorders/>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July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Supplemental disclosures of cash flow information</w:t>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Cash paid during the period for interest (net of amounts capitalized)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Cash paid during the period for income taxes,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Non-cash investing and financing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accrued but not paid at period-end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 in exchange for sale of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 Organization and Basis of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Limoneira Company (together with its consolidated subsidiaries, “Limoneira” or the “Company”) engages primarily in growing lemons and avocados, harvesting lemons, and packing lemons. The Company is also engaged in residential rentals and other rental operations and real estate development activities.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On June 6, 2025, Limoneira entered into a Commercial Packinghouse License Agreement with Sunkist Growers, Inc., a nonprofit marketing cooperative (“Sunkist”), effective as of November 1, 2025. The agreement permits us to grade, label, pack, prepare for marketing by Sunkist and ship Sunkist grower lemons, and to use Sunkist trademarks in these activities. The agreement has an initial term of three years with automatic one-year extensions. Beginning November 1, 2025, Sunkist performs the Company’s lemon sales and marketing operations. Prior to November 1, 2025, the Company marketed and sold citrus directly to food service, wholesale and retail customers throughout the United States, Canada, Asia and certain other international markets.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Judgment is required in determining whether the Company is the principal or the agent in its contracts with Sunkist. The Company has determined that it is the principal in such transactions as it controls the lemons prior to delivery to the customer, and it is primarily responsible for fulfillment of lemon orders. Accordingly, lemon revenues, net of the Sunkist marketing fee, and costs associated with the Sunkist agreement are presented gross in the Company’s consolidated statement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Basis of Presentation and Preparation</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interim consolidated financial statements include the accounts of the Company and the accounts of all the subsidiaries and investments in which the Company holds a controlling interest. Intercompany balances and transactions have been eliminated in consolidation. In the opinion of the Company, the unaudited interim consolidated financial statements reflect all adjustments, which are normal and recurring in nature, necessary for fair financial statement presentation. The preparation of these unaudited interim consolidated financial statements and accompanying notes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information and footnote disclosures normally included in the annual consolidated financial statements have been condensed or omitted pursuant to the rules and regulations of the SEC. Because the unaudited interim consolidated financial statements do not include all of the information and notes required by GAAP for a complete set of consolidated financial statements, they should be read in conjunction with the audited consolidated financial statements and notes included in the Company’s Annual Report on Form 10-K for the fiscal year ended October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60"/>
        <w:ind w:left="0" w:right="0" w:hanging="360"/>
        <w:jc w:val="both"/>
        <w:rPr>
          <w:rFonts w:ascii="Times New Roman;serif" w:hAnsi="Times New Roman;serif"/>
          <w:b/>
          <w:color w:val="000000"/>
          <w:sz w:val="20"/>
        </w:rPr>
      </w:pPr>
      <w:r>
        <w:rPr>
          <w:rFonts w:ascii="Times New Roman;serif" w:hAnsi="Times New Roman;serif"/>
          <w:b/>
          <w:color w:val="000000"/>
          <w:sz w:val="20"/>
        </w:rPr>
        <w:t>Comprehensive Loss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Comprehensive loss represents all changes in a company’s net assets, except changes resulting from transactions with stockholders. Other comprehensive income or loss includes foreign currency translation items. Accumulated other comprehensive loss is reported as a component of the Company’s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ASU 2023-09, Income Taxes (Topic 740): Improvements to Income Tax Disclosures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ASU 2023-09 requires disaggregated information about a reporting entity’s effective tax rate reconciliation as well as information on income taxes paid by jurisdiction. The ASU is effective for the Company’s annual reporting for fiscal year 2026. The Company is currently evaluating the impact of this guidance on its income tax disclosures and plans to adopt the amendments on a prospective basis. The standard will not have an impact on the Company’s financial position, results of operations or cash flows.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SEC Release No. 33-11275: The Enhancement and Standardization of Climate-Related Disclosures for Investors</w:t>
      </w:r>
    </w:p>
    <w:p>
      <w:pPr>
        <w:pStyle w:val="TextBody"/>
        <w:bidi w:val="0"/>
        <w:spacing w:lineRule="auto" w:line="288" w:before="0" w:after="160"/>
        <w:jc w:val="both"/>
        <w:rPr/>
      </w:pPr>
      <w:r>
        <w:rPr>
          <w:rFonts w:ascii="Times New Roman;serif" w:hAnsi="Times New Roman;serif"/>
          <w:b w:val="false"/>
          <w:color w:val="000000"/>
          <w:sz w:val="20"/>
        </w:rPr>
        <w:t xml:space="preserve">In March 2024, the SEC adopted final rules under SEC Release No. 33-11275: </w:t>
      </w:r>
      <w:r>
        <w:rPr>
          <w:rFonts w:ascii="Times New Roman;serif" w:hAnsi="Times New Roman;serif"/>
          <w:b w:val="false"/>
          <w:i/>
          <w:color w:val="000000"/>
          <w:sz w:val="20"/>
        </w:rPr>
        <w:t>The Enhancement and Standardization of Climate-Related Disclosures for Investors</w:t>
      </w:r>
      <w:r>
        <w:rPr>
          <w:rFonts w:ascii="Times New Roman;serif" w:hAnsi="Times New Roman;serif"/>
          <w:b w:val="false"/>
          <w:color w:val="000000"/>
          <w:sz w:val="20"/>
        </w:rPr>
        <w:t xml:space="preserve">, which requires registrants to provide certain climate-related information in their registration statements and annual reports. The rules require information about a registrant’s climate-related risks that are reasonably likely to have a material impact on its business, results of operations, or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32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2. Summary of Significant Accounting Policies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Recent Accounting Pronouncements (continued)</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These requirements are effective for the Company in various fiscal years, starting with its fiscal year beginning November 1, 2026. On April 4, 2024, the SEC determined to voluntarily stay the final rules pending certain legal challenges. On February 11, 2025, the SEC indicated it would ask the court to hold on scheduling further arguments while the SEC reassessed its position in the litigation. Subsequently, on March 27, 2025, the SEC voted to cease defending the rule in court. Despite withdrawing its defense, the SEC has not formally rescinded the rule, and on July 23, 2025, the SEC filed a report with the court stating that the SEC had no intentions of reviewing or revising the rule. The Company is continuing to evaluate the potential impact of these final rules on its consolidated financial statements and disclosures.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ASU 2024-03, Income Statement – Reporting Comprehensive Income – Expense Disaggregation Disclosures (Subtopic 220-40): Disaggregation of Income Statement Expenses and ASU 2025-01, Income Statement – Reporting Comprehensive Income – Expense Disaggregation Disclosures (Subtopic 220-40): Clarifying the Effective Date</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ASU 2024-03 requires public companies to disclose, in the notes to financial statements, specified information about certain costs and expenses at each interim and annual reporting period. Specific disclosures include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 as well as a qualitative description of the amounts remaining in relevant expense captions that are not separately disaggregated quantitatively. Additionally, companies will need to disclose the total amount of selling expenses and, in annual reporting periods, an entity’s definition of selling expenses.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effective date of ASU 2024-03 was clarified by ASU 2025-01. ASU 2024-03 is effective for the Company’s annual reporting for fiscal year 2028 and interim reporting beginning fiscal year 2029. Early adoption is permitted. ASU 2024-03 should be applied prospectively to financial statements issued for reporting periods beginning after the effective date but may be applied retrospectively to any or all prior periods presented in the financial statements. The Company is currently evaluating the impact of this guidance on its consolidated financial statements.</w:t>
      </w:r>
    </w:p>
    <w:p>
      <w:pPr>
        <w:pStyle w:val="TextBody"/>
        <w:bidi w:val="0"/>
        <w:spacing w:lineRule="auto" w:line="288" w:before="0" w:after="160"/>
        <w:jc w:val="both"/>
        <w:rPr/>
      </w:pPr>
      <w:r>
        <w:rPr>
          <w:rFonts w:ascii="Times New Roman;serif" w:hAnsi="Times New Roman;serif"/>
          <w:b w:val="false"/>
          <w:i/>
          <w:color w:val="000000"/>
          <w:sz w:val="20"/>
        </w:rPr>
        <w:t>ASU 2025-06, Intangibles – Goodwill and Other – Internal-Use Software (Subtopic 350-40): Targeted Improvements to the Accounting for Internal-Use Software</w:t>
      </w:r>
      <w:r>
        <w:rPr>
          <w:color w:val="000000"/>
        </w:rPr>
        <w:t xml:space="preserve">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Under current GAAP, entities are required to capitalize development costs incurred for internal-use software depending on the nature of the costs and the project stage during which they occur. The amendments in this ASU remove all references to software development project stages and require that an entity capitalize software costs when both: management has authorized and committed to funding the software project; and it is probable that the project will be completed and the software will be used to perform the function intended (referred to as the “probable-to-complete recognition threshold”). The ASU is effective for the Company’s interim and annual reporting for fiscal year 2029, with early adoption permitted. The Company is currently evaluating the impact of this guidance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Concentrations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Effective November 1, 2025, all of the Company’s lemon sales are conducted through Sunkist, which results in concentrations of credit risk related to revenues and accounts receivable. Lemon revenues sold through Sunkist represented 81% of total revenues for the nine months ended July 31, 2026 and 94% of accounts receivable, net as of July 31, 2026.</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Fruit Growers Supply Company, an affiliate of Sunkist, represented 14% of accounts payable as of July 31, 2026. No additional individual vendor represented 10% of accounts payable as of July 31, 2026.</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Lemons procured from third-party growers were 83% and 82% of the Company’s domestic lemon supply for the nine months ended July 31, 2026 and 2025, respectively. Two third-party growers represented 24% and 12% of growers and suppliers payable as of 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maintains its cash in federally insured financial institutions. The account balances at these institutions periodically exceed Federal Deposit Insurance Corporation (“FDIC”) insurance coverage and, as a result, there is a concentration of risk related to amounts on deposit in excess of FDIC insurance coverage.</w:t>
      </w:r>
    </w:p>
    <w:p>
      <w:pPr>
        <w:pStyle w:val="TextBody"/>
        <w:bidi w:val="0"/>
        <w:spacing w:before="0" w:after="160"/>
        <w:jc w:val="both"/>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32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3. Asset Sales and Disposals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Pan de Azucar and San Pablo Orchards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has a 90% interest in Fruticola Pan de Azucar S. A. (“PDA”) and a 100% interest in Agricola San Pablo, SpA (“San Pablo”). These entities owned citrus orchards located near La Serena, Chile and the agricultural properties consisted of approximately 500 acres of lemons, 100 acres of oranges and 2,900 acres of other land. On November 7, 2025, PDA and San Pablo (collectively, the “Sellers”), each entered into a Purchase and Sale Agreement and Novation Agreement (collectively, the “Purchase Agreements”) with San Pedro, SpA, a Chilean joint stock company (the “Buyer”) to sell the agricultural properties and related water rights for an aggregate purchase price of $14,967,000. The transactions closed upon transfer of the deeds simultaneously with the execution of the Purchase Agreements.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After a period of approximately 120 days to record the transactions, which is customary in Chilean real estate transactions, the Buyer made an initial payment to the Sellers in the aggregate amount of $6,800,000, of which approximately $742,000 is deferred until certain requirements have been fulfilled. The remainder of the Buyer’s payment obligations, in the aggregate amount of $8,167,000, will be made in installment payments in amounts that will be calculated based on the excess free cash flows of the combined operations of the sold properties and a third citrus ranch owned by the Buyer, measured annually as of March 31 until the remaining balance is paid in full (the “Balance Payments”). Following the final Balance Payment, the Buyer will also make an additional payment in an amount equal to 50% of the prior year’s Balance Payment. The Buyer’s payment obligations are secured by a pledge on its corporate equity interests in favor of the Sellers.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current and noncurrent notes receivable representing the estimated current fair value of the expected future cash proceeds. These notes are recorded in prepaid expenses and other current assets, and other assets, respectively, on the consolidated balance sheet as of July 31, 2026. The property, plant and equipment and intangible assets sold were classified as assets held for sale as of October 31, 2025. Goodwill related to PDA was written off as part of the transaction.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transaction (in thousands):</w:t>
      </w:r>
    </w:p>
    <w:tbl>
      <w:tblPr>
        <w:tblW w:w="5061" w:type="dxa"/>
        <w:jc w:val="left"/>
        <w:tblInd w:w="0" w:type="dxa"/>
        <w:tblLayout w:type="fixed"/>
        <w:tblCellMar>
          <w:top w:w="28" w:type="dxa"/>
          <w:left w:w="28" w:type="dxa"/>
          <w:bottom w:w="28" w:type="dxa"/>
          <w:right w:w="28" w:type="dxa"/>
        </w:tblCellMar>
      </w:tblPr>
      <w:tblGrid>
        <w:gridCol w:w="1437"/>
        <w:gridCol w:w="1268"/>
        <w:gridCol w:w="1270"/>
        <w:gridCol w:w="211"/>
        <w:gridCol w:w="721"/>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easement holdback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fair value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expected future cash proceeds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book value of assets sold</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book value of assets sold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disposal of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proceeds received in March 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notes receivable as of July 31, 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notes receivable as of July 31, 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expected cash proceeds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Prior to the first receipt of cash proceeds, the functional currency of PDA and San Pablo was the Chilean Peso. The balance sheets were translated to U.S. dollars at exchange rates in effect at the balance sheet date and the income statements were translated at average exchange rates during the reporting period. The resulting foreign currency translation adjustments were recorded as a separate component of accumulated other comprehensive loss. In March 2026, the Company decided not to reinvest the proceeds in Chile and remitted the first cash proceeds received from the transaction to its U.S. operations. As such, the transaction was deemed a substantially complete liquidation of the foreign entities and the historical cumulative translation adjustments of $5,744,000 were reclassified to current year earnings. This component of accumulated other comprehensive loss was recorded over approximately eight years since the entities were acquired. Simultaneously, due to the change in economic conditions as a result of the transaction, the functional currency of PDA and San Pablo transitioned to the U.S. Dollar.</w:t>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32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3. Asset Sales and Disposals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Pan de Azucar and San Pablo Orchards (continued)</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foreign subsidiaries, including PDA and San Pablo, incurred aggregate foreign exchange losses, including the reclassification of the historical cumulative translation losses, of $6,115,000 and immaterial amounts for the nine months ended July 31, 2026 and 2025, respectively, and immaterial amounts for the third quarters ended July 31, 2026 and 2025. These losses are included in other (expense) income, net in the consolidated statements of operations. </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Windfall Farms Property</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On April 14, 2026, one of the Company’s subsidiaries, Windfall Investors, LLC, entered into a Purchase and Sale Agreement to sell an 80% undivided tenant-in-common interest in the Company’s Windfall Farms property located in Paso Robles, California for a purchase price of $16,000,000, of which $10,000,000 was to be paid in cash and $6,000,000 was to be paid via promissory note secured by a deed of trust. The property consists of approximately 724 acres of land, including approximately 400 acres of wine grapes and related improvements and infrastructure. As a result of the transactions contemplated by the Purchase and Sale Agreement, in the second quarter of fiscal year 2026 the Company recorded an impairment of $9,324,000 on the property, plant and equipment and an expected loss on disposal of $880,000 related to expected transaction costs. On June 15, 2026, the Company received written notice of termination from the potential buyer, and the proposed transaction was terminated.</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On August 15, 2026, Windfall Investors, LLC entered into a Purchase and Sale Agreement with a different potential buyer to sell the Windfall Farms property for a purchase price of $15,000,000 following a public auction. The transaction is expected to close on September 14, 2026, subject to customary closing conditions. The Company has classified the related property, plant and equipment as assets held for sale as of July 31, 2026, as management believes the sale is probable of being completed within one year and all the criteria have been met to classify the assets as held for sale. As a result of the pending transaction contemplated by the second Purchase and Sale Agreement, as of July 31, 2026, the assets are measured at $14,164,000, which represents the estimated fair value, less costs to sell, based on the closed auction sales price. The Company recognized an additional impairment charge of $4,129,000 in the third quarter of fiscal year 2026, for an aggregate impairment of $13,453,000 for the nine months ended July 31, 2026. The expected loss on disposal related to transaction costs was reduced by $44,000 in the third quarter of fiscal year 2026 for a net expected loss on disposal of $836,000 as of July 31, 2026.</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Associated Citrus Packers Orchards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2026, the Company made the decision to cease citrus farming operations on the remaining 600 lemon acres located at its Associated Citrus Packers property in Yuma, Arizona. This decision aligns with the Company’s strategic plan to monetize Class 3 Colorado River water rights by conserving water via crop substitution to low water use crops. As a result, the Company recorded a loss on disposal of assets of $7,168,000 in the second quarter of fiscal year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4. Prepaid Expenses and Other Current Assets</w:t>
      </w:r>
    </w:p>
    <w:p>
      <w:pPr>
        <w:pStyle w:val="TextBody"/>
        <w:bidi w:val="0"/>
        <w:spacing w:lineRule="auto" w:line="288" w:before="0" w:after="4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802" w:type="dxa"/>
        <w:jc w:val="left"/>
        <w:tblInd w:w="0" w:type="dxa"/>
        <w:tblLayout w:type="fixed"/>
        <w:tblCellMar>
          <w:top w:w="28" w:type="dxa"/>
          <w:left w:w="28" w:type="dxa"/>
          <w:bottom w:w="28" w:type="dxa"/>
          <w:right w:w="28" w:type="dxa"/>
        </w:tblCellMar>
      </w:tblPr>
      <w:tblGrid>
        <w:gridCol w:w="950"/>
        <w:gridCol w:w="836"/>
        <w:gridCol w:w="839"/>
        <w:gridCol w:w="280"/>
        <w:gridCol w:w="820"/>
        <w:gridCol w:w="145"/>
        <w:gridCol w:w="109"/>
        <w:gridCol w:w="109"/>
        <w:gridCol w:w="109"/>
        <w:gridCol w:w="345"/>
        <w:gridCol w:w="1008"/>
        <w:gridCol w:w="252"/>
      </w:tblGrid>
      <w:tr>
        <w:trPr/>
        <w:tc>
          <w:tcPr>
            <w:tcW w:w="95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31, 2025</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supplies and insurance</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tax receivable</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proceeds receivable</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5. Real Estate Development</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Real estate development assets are comprised primarily of land and land development costs and consist of the following (in thousands):</w:t>
      </w:r>
    </w:p>
    <w:tbl>
      <w:tblPr>
        <w:tblW w:w="5096" w:type="dxa"/>
        <w:jc w:val="left"/>
        <w:tblInd w:w="0" w:type="dxa"/>
        <w:tblLayout w:type="fixed"/>
        <w:tblCellMar>
          <w:top w:w="28" w:type="dxa"/>
          <w:left w:w="28" w:type="dxa"/>
          <w:bottom w:w="28" w:type="dxa"/>
          <w:right w:w="28" w:type="dxa"/>
        </w:tblCellMar>
      </w:tblPr>
      <w:tblGrid>
        <w:gridCol w:w="694"/>
        <w:gridCol w:w="611"/>
        <w:gridCol w:w="615"/>
        <w:gridCol w:w="252"/>
        <w:gridCol w:w="862"/>
        <w:gridCol w:w="130"/>
        <w:gridCol w:w="109"/>
        <w:gridCol w:w="109"/>
        <w:gridCol w:w="109"/>
        <w:gridCol w:w="312"/>
        <w:gridCol w:w="1066"/>
        <w:gridCol w:w="227"/>
      </w:tblGrid>
      <w:tr>
        <w:trPr/>
        <w:tc>
          <w:tcPr>
            <w:tcW w:w="69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31, 2025</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 Area II</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10,624 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Limco Del Mar Ranch</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11,896 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10,628 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East Area I, Retained Property and East Area II</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fiscal year 2005, the Company began capitalizing the costs of two real estate development projects east of Santa Paula, California, for the development of 550 acres of land into residential units, commercial buildings and civic facilities. In November 2015 (the “Transaction Date”), the Company entered into a joint venture with the Lewis Group of Companies (“Lewis”) for the residential development of its East Area I real estate development project. To consummate the transaction, the Company formed Limoneira Lewis Community Builders, LLC (“LLCB”) as the development entity, contributed its East Area I property to LLCB and sold a 50% interest to Lewis.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LLCB also entered into a Retained Property Development Agreement on the Transaction Date (the “Retained Property Agreement”). Under the terms of the Retained Property Agreement, LLCB transferred certain contributed East Area I property, which is entitled for commercial development, back to the Company (the “Retained Property”) and arranged for the design and construction of certain improvements to the Retained Property, subject to certain reimbursements by the Company. The balance in East Area II includes estimated costs incurred by and reimbursable to LLCB of $3,444,000 as of July 31, 2026 and October 31, 2025, which is included in payables to related parties in the Company’s balance sheets.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2022, the Company entered into a joint venture with Lewis for the development of the Retained Property. The Company formed LLCB II, LLC (“LLCB II”) as the development entity, contributed the Retained Property to the joint venture and sold a 50% interest to Lewis. The joint venture partners will share in the capital contributions to fund project costs until loan proceeds and/or revenues are sufficient to fund the project. The Company made contributions of $350,000 and $1,900,000 to LLCB II during the nine months ended July 31, 2026 and 2025, respectively.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July 2026, LLCB entered into a $35,000,000 unsecured Line of Credit Loan Agreement and Promissory Note (the “Loan”) with Bank of America, N.A. to fund ongoing development activities. The Loan has an initial maturity date of July 30, 2028, with a one-year extension option. As of July 31, 2026, the Loan had no outstanding balance.</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July 2026, the Company and Western Land Properties, LLC (“Western”), an affiliate of Lewis, guaranteed the obligations under the Loan. The guarantors are jointly and severally liable for all Loan obligations in the event of default by LLCB. Additionally, a Reimbursement Agreement was executed between Western and the Company, which provides for unpaid liabilities of LLCB to be shared pro-rata by Western and the Company in proportion to Lewis and the Company’s percentage interest in LLCB. As of July 31, 2026, no amount has been recorded for the loan guarantee as there is no outstanding balance on the Loan.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Through July 31, 2026, LLCB closed on lot sales representing 1,261 residential units and the Company received cash distributions of $25,009,000 since inception from LLCB. As of July 31, 2026, LLCB had cash and cash equivalents of $12,502,000.</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Limco Del Mar Ranch</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fiscal year 2025, the Company announced plans to evaluate the potential development of housing at the Limco Del Mar Ranch to help address housing needs in Ventura County and to enhance long-term financial returns. The Company is actively pursuing development activities and capitalizing real estate development costs related to this project.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6. Equity in Investments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Equity in investments consists of the following (in thousands):</w:t>
      </w:r>
    </w:p>
    <w:tbl>
      <w:tblPr>
        <w:tblW w:w="6881" w:type="dxa"/>
        <w:jc w:val="left"/>
        <w:tblInd w:w="0" w:type="dxa"/>
        <w:tblLayout w:type="fixed"/>
        <w:tblCellMar>
          <w:top w:w="28" w:type="dxa"/>
          <w:left w:w="28" w:type="dxa"/>
          <w:bottom w:w="28" w:type="dxa"/>
          <w:right w:w="28" w:type="dxa"/>
        </w:tblCellMar>
      </w:tblPr>
      <w:tblGrid>
        <w:gridCol w:w="1342"/>
        <w:gridCol w:w="1180"/>
        <w:gridCol w:w="1183"/>
        <w:gridCol w:w="252"/>
        <w:gridCol w:w="862"/>
        <w:gridCol w:w="130"/>
        <w:gridCol w:w="109"/>
        <w:gridCol w:w="109"/>
        <w:gridCol w:w="109"/>
        <w:gridCol w:w="312"/>
        <w:gridCol w:w="1066"/>
        <w:gridCol w:w="227"/>
      </w:tblGrid>
      <w:tr>
        <w:trPr/>
        <w:tc>
          <w:tcPr>
            <w:tcW w:w="134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31, 2025</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Limoneira Lewis Community Builders, LLC</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58,416 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LLCB II, LLC</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Agromin-Limoneira LLC</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Rosales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Romney Property Partnership</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72,167 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60"/>
        <w:jc w:val="both"/>
        <w:rPr>
          <w:rFonts w:ascii="Times New Roman;serif" w:hAnsi="Times New Roman;serif"/>
          <w:b/>
          <w:color w:val="000000"/>
          <w:sz w:val="20"/>
        </w:rPr>
      </w:pPr>
      <w:r>
        <w:rPr>
          <w:rFonts w:ascii="Times New Roman;serif" w:hAnsi="Times New Roman;serif"/>
          <w:b/>
          <w:color w:val="000000"/>
          <w:sz w:val="20"/>
        </w:rPr>
        <w:t>Agromin-Limoneira LLC</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April 2026, the Company and California Wood Recycling, Inc., a California corporation dba Agromin (“Agromin”), entered into the Operating Agreement of Agromin-Limoneira LLC (“Agro-Limo”), which sets forth, among other things, the governance of Agro-Limo and specifies the respective rights, obligations and restrictions of the Company and Agromin as members, each owning a 50% membership interest, of Agro-Limo. Agro-Limo is a special purpose entity formed to design, construct and operate an organics recycling facility on land owned by the Company in Ventura County. Such facility is expected to be operational by the second half of fiscal year 2027, and the Company will lease the site to Agro-Limo and provide certain interim financing.</w:t>
      </w:r>
    </w:p>
    <w:p>
      <w:pPr>
        <w:pStyle w:val="TextBody"/>
        <w:bidi w:val="0"/>
        <w:spacing w:lineRule="auto" w:line="288" w:before="120" w:after="160"/>
        <w:jc w:val="both"/>
        <w:rPr>
          <w:rFonts w:ascii="Times New Roman;serif" w:hAnsi="Times New Roman;serif"/>
          <w:b w:val="false"/>
          <w:color w:val="000000"/>
          <w:sz w:val="20"/>
        </w:rPr>
      </w:pPr>
      <w:r>
        <w:rPr>
          <w:rFonts w:ascii="Times New Roman;serif" w:hAnsi="Times New Roman;serif"/>
          <w:b w:val="false"/>
          <w:color w:val="000000"/>
          <w:sz w:val="20"/>
        </w:rPr>
        <w:t>The Company entered into a Revolving Line of Credit Agreement (the “Loan Agreement”) with Agro-Limo providing up to $5,000,000 of financing at a variable interest rate based on the current SOFR plus 3.5%, with the interest rate adjusted quarterly. The Loan Agreement matures in October 2027. As of July 31, 2026, the Loan Agreement had an outstanding balance of $2,771,000 and was recorded within other assets.</w:t>
      </w:r>
    </w:p>
    <w:p>
      <w:pPr>
        <w:pStyle w:val="TextBody"/>
        <w:bidi w:val="0"/>
        <w:spacing w:lineRule="auto" w:line="288" w:before="12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formation of Agro-Limo, the Company made an initial asset contribution of $1,283,000 in the second quarter of fiscal year 2026 and cash contributions of $690,000 in the third quarter of fiscal year 2026. The Company accounts for its investment in Agro-Limo under the equity method of accounting because it does not control the entity but has the ability to exercise significant influence over its operations. </w:t>
      </w:r>
    </w:p>
    <w:p>
      <w:pPr>
        <w:pStyle w:val="TextBody"/>
        <w:bidi w:val="0"/>
        <w:spacing w:lineRule="auto" w:line="288" w:before="120" w:after="160"/>
        <w:jc w:val="both"/>
        <w:rPr>
          <w:rFonts w:ascii="Times New Roman;serif" w:hAnsi="Times New Roman;serif"/>
          <w:b w:val="false"/>
          <w:i/>
          <w:color w:val="000000"/>
          <w:sz w:val="20"/>
        </w:rPr>
      </w:pPr>
      <w:r>
        <w:rPr>
          <w:rFonts w:ascii="Times New Roman;serif" w:hAnsi="Times New Roman;serif"/>
          <w:b w:val="false"/>
          <w:i/>
          <w:color w:val="000000"/>
          <w:sz w:val="20"/>
        </w:rPr>
        <w:t>Unconsolidated Significant Subsidiary</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accordance with Rule 10-01(b)(1) of Regulation S-X, which applies to interim reports on Form 10-Q, the Company must determine if its equity method investees are considered “significant subsidiaries.” In evaluating its investments, there are two tests utilized to determine if equity method investees are considered significant subsidiaries: the income test and the investment test. Summarized income statement information of an equity method investee is required in an interim report if either of the two tests exceed 20% in the interim periods presented. During the year-to-date interim periods for the nine months ended July 31, 2026 and 2025, this threshold was not met for any equity investments and thus summarized income statement information is not presented in this Quarterly Report on Form 10-Q. The full audited financial statements of LLCB for the years ended October 31, 2025, 2024 and 2023 were provided as exhibits to the Annual Report on Form 10-K for the fiscal year ended October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7. Goodwill and Intangible Assets,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 summary of the change in the carrying amount of goodwill is as follows (in thousands):</w:t>
      </w:r>
    </w:p>
    <w:tbl>
      <w:tblPr>
        <w:tblW w:w="4919" w:type="dxa"/>
        <w:jc w:val="center"/>
        <w:tblInd w:w="0" w:type="dxa"/>
        <w:tblLayout w:type="fixed"/>
        <w:tblCellMar>
          <w:top w:w="28" w:type="dxa"/>
          <w:left w:w="28" w:type="dxa"/>
          <w:bottom w:w="28" w:type="dxa"/>
          <w:right w:w="28" w:type="dxa"/>
        </w:tblCellMar>
      </w:tblPr>
      <w:tblGrid>
        <w:gridCol w:w="880"/>
        <w:gridCol w:w="771"/>
        <w:gridCol w:w="778"/>
        <w:gridCol w:w="535"/>
        <w:gridCol w:w="1564"/>
        <w:gridCol w:w="391"/>
      </w:tblGrid>
      <w:tr>
        <w:trPr/>
        <w:tc>
          <w:tcPr>
            <w:tcW w:w="88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Goodwill Carrying Amount</w:t>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October 31, 2025</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PDA goodwill write off</w:t>
            </w:r>
          </w:p>
        </w:tc>
        <w:tc>
          <w:tcPr>
            <w:tcW w:w="2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July 31, 2026</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7. Goodwill and Intangible Assets, Net (continued)</w:t>
      </w:r>
    </w:p>
    <w:p>
      <w:pPr>
        <w:pStyle w:val="TextBody"/>
        <w:bidi w:val="0"/>
        <w:spacing w:lineRule="auto" w:line="288" w:before="0" w:after="160"/>
        <w:jc w:val="both"/>
        <w:rPr/>
      </w:pPr>
      <w:r>
        <w:rPr>
          <w:rFonts w:ascii="Times New Roman;serif" w:hAnsi="Times New Roman;serif"/>
          <w:b w:val="false"/>
          <w:color w:val="000000"/>
          <w:sz w:val="20"/>
        </w:rPr>
        <w:t>Goodwill is tested for impairment on an annual basis or when an event or changes in circumstances indicate that its carrying value may not be recoverable. There have been no impairment charges recorded against goodwill as of July 31, 2026. As discussed in Note 3 - Asset Sales and Disposals,</w:t>
      </w:r>
      <w:r>
        <w:rPr>
          <w:color w:val="000000"/>
        </w:rPr>
        <w:t xml:space="preserve"> </w:t>
      </w:r>
      <w:r>
        <w:rPr>
          <w:rFonts w:ascii="Times New Roman;serif" w:hAnsi="Times New Roman;serif"/>
          <w:b w:val="false"/>
          <w:color w:val="000000"/>
          <w:sz w:val="20"/>
        </w:rPr>
        <w:t>goodwill related to PDA was written off as part of the asset sale transaction.</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Intangible assets consist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1393" w:type="dxa"/>
        <w:jc w:val="left"/>
        <w:tblInd w:w="0" w:type="dxa"/>
        <w:tblLayout w:type="fixed"/>
        <w:tblCellMar>
          <w:top w:w="28" w:type="dxa"/>
          <w:left w:w="28" w:type="dxa"/>
          <w:bottom w:w="28" w:type="dxa"/>
          <w:right w:w="28" w:type="dxa"/>
        </w:tblCellMar>
      </w:tblPr>
      <w:tblGrid>
        <w:gridCol w:w="874"/>
        <w:gridCol w:w="320"/>
        <w:gridCol w:w="322"/>
        <w:gridCol w:w="211"/>
        <w:gridCol w:w="616"/>
        <w:gridCol w:w="109"/>
        <w:gridCol w:w="109"/>
        <w:gridCol w:w="109"/>
        <w:gridCol w:w="109"/>
        <w:gridCol w:w="239"/>
        <w:gridCol w:w="717"/>
        <w:gridCol w:w="125"/>
        <w:gridCol w:w="109"/>
        <w:gridCol w:w="109"/>
        <w:gridCol w:w="109"/>
        <w:gridCol w:w="211"/>
        <w:gridCol w:w="616"/>
        <w:gridCol w:w="109"/>
        <w:gridCol w:w="109"/>
        <w:gridCol w:w="109"/>
        <w:gridCol w:w="109"/>
        <w:gridCol w:w="265"/>
        <w:gridCol w:w="265"/>
        <w:gridCol w:w="266"/>
        <w:gridCol w:w="109"/>
        <w:gridCol w:w="109"/>
        <w:gridCol w:w="109"/>
        <w:gridCol w:w="211"/>
        <w:gridCol w:w="616"/>
        <w:gridCol w:w="109"/>
        <w:gridCol w:w="109"/>
        <w:gridCol w:w="109"/>
        <w:gridCol w:w="109"/>
        <w:gridCol w:w="239"/>
        <w:gridCol w:w="717"/>
        <w:gridCol w:w="125"/>
        <w:gridCol w:w="109"/>
        <w:gridCol w:w="109"/>
        <w:gridCol w:w="109"/>
        <w:gridCol w:w="211"/>
        <w:gridCol w:w="616"/>
        <w:gridCol w:w="109"/>
        <w:gridCol w:w="109"/>
        <w:gridCol w:w="109"/>
        <w:gridCol w:w="109"/>
        <w:gridCol w:w="291"/>
        <w:gridCol w:w="246"/>
        <w:gridCol w:w="349"/>
      </w:tblGrid>
      <w:tr>
        <w:trPr/>
        <w:tc>
          <w:tcPr>
            <w:tcW w:w="87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7533" w:type="dxa"/>
            <w:gridSpan w:val="36"/>
            <w:tcBorders/>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31, 2025</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Useful Life in Years</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Non-competition agreement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water and mineral rights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 xml:space="preserve">Indefinite </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(4,351)</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(3,915)</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Amortization expense totaled $141,000 and $144,000 for the three months ended July 31, 2026 and 2025, respectively. Amortization expense totaled $436,000 and $433,000 for the nine months ended July 31, 2026 and 2025, respectively.</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January 2025, the Company sold acquired water rights in the Santa Paula Basin for $30,000 per acre-foot in two transactions. The total selling price was $1,440,000 and the Company recorded a gain on sales of water rights of $1,200,000.</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Estimated future amortization expense of intangible assets as of July 31, 2026 is as follows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56" w:type="dxa"/>
        <w:jc w:val="center"/>
        <w:tblInd w:w="0" w:type="dxa"/>
        <w:tblLayout w:type="fixed"/>
        <w:tblCellMar>
          <w:top w:w="28" w:type="dxa"/>
          <w:left w:w="28" w:type="dxa"/>
          <w:bottom w:w="28" w:type="dxa"/>
          <w:right w:w="28" w:type="dxa"/>
        </w:tblCellMar>
      </w:tblPr>
      <w:tblGrid>
        <w:gridCol w:w="950"/>
        <w:gridCol w:w="835"/>
        <w:gridCol w:w="840"/>
        <w:gridCol w:w="211"/>
        <w:gridCol w:w="466"/>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three months)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8. Other Assets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Other assets consist of the following (in thousands):</w:t>
      </w:r>
    </w:p>
    <w:tbl>
      <w:tblPr>
        <w:tblW w:w="6490" w:type="dxa"/>
        <w:jc w:val="left"/>
        <w:tblInd w:w="0" w:type="dxa"/>
        <w:tblLayout w:type="fixed"/>
        <w:tblCellMar>
          <w:top w:w="28" w:type="dxa"/>
          <w:left w:w="28" w:type="dxa"/>
          <w:bottom w:w="28" w:type="dxa"/>
          <w:right w:w="28" w:type="dxa"/>
        </w:tblCellMar>
      </w:tblPr>
      <w:tblGrid>
        <w:gridCol w:w="1201"/>
        <w:gridCol w:w="1055"/>
        <w:gridCol w:w="1058"/>
        <w:gridCol w:w="252"/>
        <w:gridCol w:w="862"/>
        <w:gridCol w:w="130"/>
        <w:gridCol w:w="109"/>
        <w:gridCol w:w="109"/>
        <w:gridCol w:w="109"/>
        <w:gridCol w:w="312"/>
        <w:gridCol w:w="1066"/>
        <w:gridCol w:w="227"/>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31, 2025</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mutual water companies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7,323 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ROU assets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receivables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11,088 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Investments in Mutual Water Companies and Water Rights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investments in various not-for-profit mutual water companies provide it with the right to receive a proportionate share of water from each of the not-for-profit mutual water companies that have been invested in and do not constitute voting shares and/or rights. In January 2025, the Company sold water pumping rights in the Santa Paula Basin for $300,000 and the Company recorded a gain on sale of water rights of $288,000.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8. Other Assets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Notes Receivable</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As discussed in Note 3 - Asset Sales and Disposals, the Company has notes receivable related to the sale of the Chilean assets in November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9. Accrued Liabilities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Accrued liabilities consist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887" w:type="dxa"/>
        <w:jc w:val="left"/>
        <w:tblInd w:w="0" w:type="dxa"/>
        <w:tblLayout w:type="fixed"/>
        <w:tblCellMar>
          <w:top w:w="28" w:type="dxa"/>
          <w:left w:w="28" w:type="dxa"/>
          <w:bottom w:w="28" w:type="dxa"/>
          <w:right w:w="28" w:type="dxa"/>
        </w:tblCellMar>
      </w:tblPr>
      <w:tblGrid>
        <w:gridCol w:w="619"/>
        <w:gridCol w:w="545"/>
        <w:gridCol w:w="546"/>
        <w:gridCol w:w="280"/>
        <w:gridCol w:w="820"/>
        <w:gridCol w:w="145"/>
        <w:gridCol w:w="109"/>
        <w:gridCol w:w="109"/>
        <w:gridCol w:w="109"/>
        <w:gridCol w:w="345"/>
        <w:gridCol w:w="1008"/>
        <w:gridCol w:w="252"/>
      </w:tblGrid>
      <w:tr>
        <w:trPr/>
        <w:tc>
          <w:tcPr>
            <w:tcW w:w="6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31, 2025</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7,457 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9,290 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10. Long-Term Debt</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Long-term debt is comprised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704"/>
        <w:gridCol w:w="2375"/>
        <w:gridCol w:w="2380"/>
        <w:gridCol w:w="216"/>
        <w:gridCol w:w="847"/>
        <w:gridCol w:w="111"/>
        <w:gridCol w:w="109"/>
        <w:gridCol w:w="109"/>
        <w:gridCol w:w="109"/>
        <w:gridCol w:w="241"/>
        <w:gridCol w:w="824"/>
        <w:gridCol w:w="180"/>
      </w:tblGrid>
      <w:tr>
        <w:trPr/>
        <w:tc>
          <w:tcPr>
            <w:tcW w:w="2704"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459"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31, 2025</w:t>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AgWest Farm Credit revolving and non-revolving lines of credit: The interest rate of the revolving line of credit is variable based on the one-month SOFR, which was 3.70% at July 31, 2026, plus 3.00%. Interest is payable monthly and principal due in full July 1, 2030.</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96,970 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72,450 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AgWest Farm Credit equipment loans: The interest rates are variable based on the one-month SOFR, which was 3.70% at July 31, 2026 plus 2.65%. The loans are payable in monthly installments through April and May 2031.</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459"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459"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459"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459"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459"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459"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Banco de Chile COVID-19 loan: The interest rate was fixed at 4.26%. The loan was repaid in July 2026.</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459"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101,514 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portion</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100,677 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72,450 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June 2025, the Company entered into a Master Loan Agreement (the “MLA”) with AgWest Farm Credit (the “Lender”), dated June 26, 2025, together with a revolving credit facility supplement (the “Revolving Credit Supplement”) and a non-revolving credit facility supplement (the “Non-Revolving Credit Supplement,” and together with the Revolving Credit Supplement, the “Supplements”). The MLA governs the terms of the Supplements. The MLA amends and restates the previous Master Loan Agreement between the Company and the Lender and extends the principal repayment to July 1, 2030. Debt financing costs related to the MLA agreement were immaterial.</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Supplements provide aggregate borrowing capacity of $115,000,000 comprised of $114,000,000 under the Revolving Credit Supplement, and $1,000,000 under the Non-Revolving Credit Supplement which can be used solely to support calls on Letters of Credit. There are no amounts outstanding on the Non-Revolving Credit Supplement. As of July 31, 2026, the Company’s outstanding borrowings under the Revolving Credit Supplement were $96,970,000 and it had $17,030,000 available to borrow.</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May 2026, the Company entered into a Promissory Note and Supplement to the MLA (the “Note”) to provide an additional revolving credit facility supplement with a borrowing capacity of $5,000,000 and a maturity date of January 1, 2027. The interest rate in effect under the Note is a variable interest rate, which adjusts under the Lender’s interest rate program on the first day of each month. The Company may prepay any amounts outstanding under the Note without penalty.</w:t>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10. Long-Term Debt (continued)</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interest rate in effect under the Revolving Credit Supplement automatically adjusts on the first day of each month. The interest rate for any amount outstanding under the Revolving Credit Supplement is based on the one-month SOFR plus an applicable margin. The applicable margin ranges from 2.15% to 3.00% depending on the ratio of funded indebtedness to earnings before interest, income taxes, depreciation and amortization (“EBITDA”) and may be increased or decreased in the sole discretion of the Lender on each anniversary of July 1. The Company may prepay any amounts outstanding under the Revolving Credit Supplement without penalty.</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interest rate in effect under the Non-Revolving Credit Supplement is a variable interest rate established by the Lender. The Company may prepay any amounts outstanding under the Non-Revolving Credit Supplement without penalty.</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All indebtedness under the MLA, including any indebtedness under the Supplements, is secured by a first lien on Company-owned stock or participation certificates, Company funds maintained with the Lender, the Lender’s unallocated surplus, certain of the Company’s agricultural properties, certain of the Company’s building fixtures and improvements and investments in mutual water companies associated with the pledged agricultural properties. The MLA includes customary default provisions. Should an event of default occur, the Lender, at its option, may declare all or any portion of the indebtedness under the MLA to be immediately due and payable without demand, notice of nonpayment, protest or prior recourse to collateral, and terminate or suspend the Company’s right to draw or request funds on any loan or line of credit.</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MLA subjects the Company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the Company’s business. The Company was subject to an annual financial covenant that required it to maintain compliance with a specific debt service coverage ratio of 1.0:1.0 for the fiscal year ending October 31, 2025, and 1.25:1.0 for any fiscal year ending thereafter. In September 2025, the Lender modified the debt service coverage ratio covenant to defer measurement as of October 31, 2025. In December 2025, the Lender modified the debt service coverage ratio covenant to defer measurement as of October 31, 2026 and resume a debt service coverage ratio of 1.25:1.0 measured as of October 31, 2027 and for any fiscal year ending thereafter.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was also subject to a quarterly financial covenant that required it to maintain compliance with a specific total net leverage ratio as of the end of any fiscal quarter beginning July 31, 2026, with a ratio of no more than 6.0:1.0 for the fiscal quarter ending July 31, 2026, 5.0:1.0 for the fiscal quarter ending October 31, 2026 and 4.5:1.0 for any fiscal quarter ending thereafter. In December 2025, the Lender modified this quarterly financial covenant to defer measurement through July 31, 2027 and resume measurement as of October 31, 2027. Additionally, in December 2025, the Lender added a new quarterly financial covenant for the period January 31, 2026 through July 31, 2027, which requires the Company to maintain a debt to capitalization ratio of no greater than 0.45:1.00 or 45%. The Company was in compliance with this covenant as of 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2026, the Company entered into an equipment financing loan with the Lender in an initial amount of $2,258,000 which matures on April 1, 2031. In May 2026, the Company entered into a second equipment financing loan with the Lender in an initial amount of $2,473,000 which matures on May 1, 2031. Both equipment loans have monthly principal and interest payments and a variable interest rate based on the one-month SOFR plus 2.65%.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Interest is capitalized on non-bearing orchards, real estate development projects and significant construction in progress. The Company capitalized interest of $717,000 and $489,000 during the three months ended July 31, 2026 and 2025, respectively, and $2,182,000 and $733,000 for the nine months ended July 31, 2026 and 2025, respectively. Capitalized interest is included in property, plant and equipment, real estate development assets and equity in investments in the Company’s consolidated balance sheets.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received annual cash patronage dividends from the Lender of $758,000 and $564,000 in the second quarter of fiscal years 2026 and 2025, respectively.</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11.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Lessor Arrangements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enters into leasing transactions in which it rents certain of its assets and the Company is the lessor. These lease contracts are typically classified as operating leases with remaining terms ranging from one month to 50 years with various renewal terms available. All of the residential rentals have month-to-month lease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Company’s rental operations revenue consists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057" w:type="dxa"/>
        <w:jc w:val="center"/>
        <w:tblInd w:w="0" w:type="dxa"/>
        <w:tblLayout w:type="fixed"/>
        <w:tblCellMar>
          <w:top w:w="28" w:type="dxa"/>
          <w:left w:w="28" w:type="dxa"/>
          <w:bottom w:w="28" w:type="dxa"/>
          <w:right w:w="28" w:type="dxa"/>
        </w:tblCellMar>
      </w:tblPr>
      <w:tblGrid>
        <w:gridCol w:w="749"/>
        <w:gridCol w:w="658"/>
        <w:gridCol w:w="662"/>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July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Lessee Arrangements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enters into leasing transactions in which the Company is the lessee. These lease contracts are classified as either operating or finance leases. The Company’s lease contracts are generally for agricultural land, packinghouse facilities, equipment and vehicles with remaining lease terms ranging from one to seven years, with various term extensions available. Leases with an initial term of 12 months or less are not recorded on the balance sheet and the Company recognizes lease expense for these leases on a straight-line basis over the lease term. Lease costs are primarily included in agribusiness costs and expenses in the Company’s consolidated statements of operations.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Lease costs consist of the following (in thousands):</w:t>
      </w:r>
    </w:p>
    <w:tbl>
      <w:tblPr>
        <w:tblW w:w="6840" w:type="dxa"/>
        <w:jc w:val="left"/>
        <w:tblInd w:w="0" w:type="dxa"/>
        <w:tblLayout w:type="fixed"/>
        <w:tblCellMar>
          <w:top w:w="28" w:type="dxa"/>
          <w:left w:w="28" w:type="dxa"/>
          <w:bottom w:w="28" w:type="dxa"/>
          <w:right w:w="28" w:type="dxa"/>
        </w:tblCellMar>
      </w:tblPr>
      <w:tblGrid>
        <w:gridCol w:w="857"/>
        <w:gridCol w:w="754"/>
        <w:gridCol w:w="759"/>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July 31,</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costs:</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lease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costs</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leases consists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918" w:type="dxa"/>
        <w:jc w:val="center"/>
        <w:tblInd w:w="0" w:type="dxa"/>
        <w:tblLayout w:type="fixed"/>
        <w:tblCellMar>
          <w:top w:w="28" w:type="dxa"/>
          <w:left w:w="28" w:type="dxa"/>
          <w:bottom w:w="28" w:type="dxa"/>
          <w:right w:w="28" w:type="dxa"/>
        </w:tblCellMar>
      </w:tblPr>
      <w:tblGrid>
        <w:gridCol w:w="1153"/>
        <w:gridCol w:w="1016"/>
        <w:gridCol w:w="1025"/>
        <w:gridCol w:w="739"/>
        <w:gridCol w:w="739"/>
        <w:gridCol w:w="742"/>
        <w:gridCol w:w="109"/>
        <w:gridCol w:w="109"/>
        <w:gridCol w:w="109"/>
        <w:gridCol w:w="280"/>
        <w:gridCol w:w="820"/>
        <w:gridCol w:w="145"/>
        <w:gridCol w:w="109"/>
        <w:gridCol w:w="109"/>
        <w:gridCol w:w="109"/>
        <w:gridCol w:w="345"/>
        <w:gridCol w:w="1008"/>
        <w:gridCol w:w="252"/>
      </w:tblGrid>
      <w:tr>
        <w:trPr/>
        <w:tc>
          <w:tcPr>
            <w:tcW w:w="115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31, 2025</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2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ROU assets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7,712 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finance lease liabilities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finance lease liabilities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7,457 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932" w:type="dxa"/>
            <w:gridSpan w:val="6"/>
            <w:tcBorders/>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11. Leases (continued)</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consists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326" w:type="dxa"/>
        <w:jc w:val="center"/>
        <w:tblInd w:w="0" w:type="dxa"/>
        <w:tblLayout w:type="fixed"/>
        <w:tblCellMar>
          <w:top w:w="28" w:type="dxa"/>
          <w:left w:w="28" w:type="dxa"/>
          <w:bottom w:w="28" w:type="dxa"/>
          <w:right w:w="28" w:type="dxa"/>
        </w:tblCellMar>
      </w:tblPr>
      <w:tblGrid>
        <w:gridCol w:w="2126"/>
        <w:gridCol w:w="1864"/>
        <w:gridCol w:w="1874"/>
        <w:gridCol w:w="211"/>
        <w:gridCol w:w="616"/>
        <w:gridCol w:w="109"/>
        <w:gridCol w:w="109"/>
        <w:gridCol w:w="109"/>
        <w:gridCol w:w="109"/>
        <w:gridCol w:w="211"/>
        <w:gridCol w:w="616"/>
        <w:gridCol w:w="109"/>
        <w:gridCol w:w="109"/>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July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from 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outflows from finance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 obtained in exchange for new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 assets obtained in exchange for new finance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12. Earnings Per Share</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Basic net income or loss per common share is calculated using the weighted-average number of common shares outstanding during the period without consideration of the dilutive effect of conversion of preferred stock. Diluted net income or loss per common share is calculated using the weighted-average number of common shares outstanding during the period plus the dilutive effect of unvested, restricted stock and conversion of preferred stock. The computations for basic and diluted net income or loss per common share are as follows (in thousands, except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162" w:type="dxa"/>
        <w:jc w:val="left"/>
        <w:tblInd w:w="0" w:type="dxa"/>
        <w:tblLayout w:type="fixed"/>
        <w:tblCellMar>
          <w:top w:w="28" w:type="dxa"/>
          <w:left w:w="28" w:type="dxa"/>
          <w:bottom w:w="28" w:type="dxa"/>
          <w:right w:w="28" w:type="dxa"/>
        </w:tblCellMar>
      </w:tblPr>
      <w:tblGrid>
        <w:gridCol w:w="1765"/>
        <w:gridCol w:w="1548"/>
        <w:gridCol w:w="1561"/>
        <w:gridCol w:w="211"/>
        <w:gridCol w:w="691"/>
        <w:gridCol w:w="109"/>
        <w:gridCol w:w="109"/>
        <w:gridCol w:w="109"/>
        <w:gridCol w:w="109"/>
        <w:gridCol w:w="211"/>
        <w:gridCol w:w="586"/>
        <w:gridCol w:w="109"/>
        <w:gridCol w:w="109"/>
        <w:gridCol w:w="109"/>
        <w:gridCol w:w="109"/>
        <w:gridCol w:w="211"/>
        <w:gridCol w:w="796"/>
        <w:gridCol w:w="109"/>
        <w:gridCol w:w="109"/>
        <w:gridCol w:w="109"/>
        <w:gridCol w:w="109"/>
        <w:gridCol w:w="211"/>
        <w:gridCol w:w="691"/>
        <w:gridCol w:w="109"/>
        <w:gridCol w:w="109"/>
        <w:gridCol w:w="154"/>
      </w:tblGrid>
      <w:tr>
        <w:trPr/>
        <w:tc>
          <w:tcPr>
            <w:tcW w:w="1765"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July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net loss per common share:</w:t>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applicable to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unvested, restricted stock and preferred dividends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Net loss for basic EPS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Weighted average common shares–basic</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loss per common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loss per common share:</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for basic EPS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preferred stock</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Net loss for diluted EPS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shares–basic</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preferred stock</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Weighted average common shares–diluted</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per common share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Diluted net income or loss per common share is computed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 Diluted net loss per common share was calculated under the two-class method for the three and nine months ended July 31, 2026 and 2025.</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13. Related-Party Transactions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has transactions with equity method investments and various related parties summarized in Note 6 - Equity in Investments and in the tables below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83"/>
        <w:gridCol w:w="163"/>
        <w:gridCol w:w="121"/>
        <w:gridCol w:w="109"/>
        <w:gridCol w:w="109"/>
        <w:gridCol w:w="109"/>
        <w:gridCol w:w="395"/>
        <w:gridCol w:w="395"/>
        <w:gridCol w:w="396"/>
        <w:gridCol w:w="109"/>
        <w:gridCol w:w="109"/>
        <w:gridCol w:w="109"/>
        <w:gridCol w:w="259"/>
        <w:gridCol w:w="735"/>
        <w:gridCol w:w="146"/>
        <w:gridCol w:w="109"/>
        <w:gridCol w:w="109"/>
        <w:gridCol w:w="109"/>
        <w:gridCol w:w="198"/>
        <w:gridCol w:w="562"/>
        <w:gridCol w:w="110"/>
        <w:gridCol w:w="109"/>
        <w:gridCol w:w="109"/>
        <w:gridCol w:w="109"/>
        <w:gridCol w:w="214"/>
        <w:gridCol w:w="607"/>
        <w:gridCol w:w="119"/>
        <w:gridCol w:w="109"/>
        <w:gridCol w:w="109"/>
        <w:gridCol w:w="109"/>
        <w:gridCol w:w="109"/>
        <w:gridCol w:w="109"/>
        <w:gridCol w:w="259"/>
        <w:gridCol w:w="735"/>
        <w:gridCol w:w="146"/>
        <w:gridCol w:w="109"/>
        <w:gridCol w:w="109"/>
        <w:gridCol w:w="109"/>
        <w:gridCol w:w="201"/>
        <w:gridCol w:w="432"/>
        <w:gridCol w:w="111"/>
        <w:gridCol w:w="109"/>
        <w:gridCol w:w="109"/>
        <w:gridCol w:w="109"/>
        <w:gridCol w:w="214"/>
        <w:gridCol w:w="607"/>
        <w:gridCol w:w="119"/>
        <w:gridCol w:w="109"/>
        <w:gridCol w:w="162"/>
      </w:tblGrid>
      <w:tr>
        <w:trPr/>
        <w:tc>
          <w:tcPr>
            <w:tcW w:w="1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1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2025</w:t>
            </w:r>
          </w:p>
        </w:tc>
        <w:tc>
          <w:tcPr>
            <w:tcW w:w="1538" w:type="dxa"/>
            <w:gridSpan w:val="8"/>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w:t>
            </w:r>
          </w:p>
        </w:tc>
        <w:tc>
          <w:tcPr>
            <w:tcW w:w="1538" w:type="dxa"/>
            <w:gridSpan w:val="8"/>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Related-Party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Receivables/Other from Related Parties,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Payables to Related Parties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Receivables/Other from Related Parties,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Payables to Related Parties</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water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YMIDD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FGF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LLCB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Law firm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Agro-Limo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2410" w:type="dxa"/>
        <w:jc w:val="center"/>
        <w:tblInd w:w="0" w:type="dxa"/>
        <w:tblLayout w:type="fixed"/>
        <w:tblCellMar>
          <w:top w:w="28" w:type="dxa"/>
          <w:left w:w="28" w:type="dxa"/>
          <w:bottom w:w="28" w:type="dxa"/>
          <w:right w:w="28" w:type="dxa"/>
        </w:tblCellMar>
      </w:tblPr>
      <w:tblGrid>
        <w:gridCol w:w="183"/>
        <w:gridCol w:w="163"/>
        <w:gridCol w:w="121"/>
        <w:gridCol w:w="109"/>
        <w:gridCol w:w="109"/>
        <w:gridCol w:w="109"/>
        <w:gridCol w:w="380"/>
        <w:gridCol w:w="380"/>
        <w:gridCol w:w="381"/>
        <w:gridCol w:w="109"/>
        <w:gridCol w:w="109"/>
        <w:gridCol w:w="109"/>
        <w:gridCol w:w="271"/>
        <w:gridCol w:w="583"/>
        <w:gridCol w:w="152"/>
        <w:gridCol w:w="109"/>
        <w:gridCol w:w="109"/>
        <w:gridCol w:w="109"/>
        <w:gridCol w:w="247"/>
        <w:gridCol w:w="531"/>
        <w:gridCol w:w="138"/>
        <w:gridCol w:w="109"/>
        <w:gridCol w:w="109"/>
        <w:gridCol w:w="109"/>
        <w:gridCol w:w="271"/>
        <w:gridCol w:w="583"/>
        <w:gridCol w:w="152"/>
        <w:gridCol w:w="109"/>
        <w:gridCol w:w="109"/>
        <w:gridCol w:w="109"/>
        <w:gridCol w:w="196"/>
        <w:gridCol w:w="406"/>
        <w:gridCol w:w="109"/>
        <w:gridCol w:w="109"/>
        <w:gridCol w:w="109"/>
        <w:gridCol w:w="109"/>
        <w:gridCol w:w="109"/>
        <w:gridCol w:w="109"/>
        <w:gridCol w:w="286"/>
        <w:gridCol w:w="571"/>
        <w:gridCol w:w="149"/>
        <w:gridCol w:w="109"/>
        <w:gridCol w:w="109"/>
        <w:gridCol w:w="109"/>
        <w:gridCol w:w="260"/>
        <w:gridCol w:w="520"/>
        <w:gridCol w:w="136"/>
        <w:gridCol w:w="109"/>
        <w:gridCol w:w="109"/>
        <w:gridCol w:w="109"/>
        <w:gridCol w:w="242"/>
        <w:gridCol w:w="638"/>
        <w:gridCol w:w="126"/>
        <w:gridCol w:w="109"/>
        <w:gridCol w:w="109"/>
        <w:gridCol w:w="109"/>
        <w:gridCol w:w="109"/>
        <w:gridCol w:w="109"/>
        <w:gridCol w:w="229"/>
        <w:gridCol w:w="458"/>
        <w:gridCol w:w="169"/>
      </w:tblGrid>
      <w:tr>
        <w:trPr/>
        <w:tc>
          <w:tcPr>
            <w:tcW w:w="1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 2025</w:t>
            </w:r>
          </w:p>
        </w:tc>
        <w:tc>
          <w:tcPr>
            <w:tcW w:w="1401" w:type="dxa"/>
            <w:gridSpan w:val="8"/>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Statement of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Statement of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Related-Party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Revenue Agribusiness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Revenue Other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Agribusiness Expense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Revenue Agribusiness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Revenue Other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Agribusiness Expense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Dividends Paid</w:t>
            </w:r>
          </w:p>
        </w:tc>
      </w:tr>
      <w:tr>
        <w:trPr/>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water companies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YMIDD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FGF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Owner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 Mar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Law firm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Agro-Limo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Third party growers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3330" w:type="dxa"/>
        <w:jc w:val="left"/>
        <w:tblInd w:w="0" w:type="dxa"/>
        <w:tblLayout w:type="fixed"/>
        <w:tblCellMar>
          <w:top w:w="28" w:type="dxa"/>
          <w:left w:w="28" w:type="dxa"/>
          <w:bottom w:w="28" w:type="dxa"/>
          <w:right w:w="28" w:type="dxa"/>
        </w:tblCellMar>
      </w:tblPr>
      <w:tblGrid>
        <w:gridCol w:w="183"/>
        <w:gridCol w:w="163"/>
        <w:gridCol w:w="121"/>
        <w:gridCol w:w="109"/>
        <w:gridCol w:w="109"/>
        <w:gridCol w:w="109"/>
        <w:gridCol w:w="380"/>
        <w:gridCol w:w="380"/>
        <w:gridCol w:w="381"/>
        <w:gridCol w:w="109"/>
        <w:gridCol w:w="109"/>
        <w:gridCol w:w="109"/>
        <w:gridCol w:w="271"/>
        <w:gridCol w:w="583"/>
        <w:gridCol w:w="152"/>
        <w:gridCol w:w="109"/>
        <w:gridCol w:w="109"/>
        <w:gridCol w:w="109"/>
        <w:gridCol w:w="247"/>
        <w:gridCol w:w="531"/>
        <w:gridCol w:w="138"/>
        <w:gridCol w:w="109"/>
        <w:gridCol w:w="109"/>
        <w:gridCol w:w="109"/>
        <w:gridCol w:w="229"/>
        <w:gridCol w:w="649"/>
        <w:gridCol w:w="128"/>
        <w:gridCol w:w="109"/>
        <w:gridCol w:w="109"/>
        <w:gridCol w:w="109"/>
        <w:gridCol w:w="196"/>
        <w:gridCol w:w="406"/>
        <w:gridCol w:w="109"/>
        <w:gridCol w:w="109"/>
        <w:gridCol w:w="109"/>
        <w:gridCol w:w="109"/>
        <w:gridCol w:w="218"/>
        <w:gridCol w:w="470"/>
        <w:gridCol w:w="123"/>
        <w:gridCol w:w="109"/>
        <w:gridCol w:w="109"/>
        <w:gridCol w:w="109"/>
        <w:gridCol w:w="242"/>
        <w:gridCol w:w="638"/>
        <w:gridCol w:w="126"/>
        <w:gridCol w:w="109"/>
        <w:gridCol w:w="109"/>
        <w:gridCol w:w="109"/>
        <w:gridCol w:w="260"/>
        <w:gridCol w:w="520"/>
        <w:gridCol w:w="136"/>
        <w:gridCol w:w="109"/>
        <w:gridCol w:w="109"/>
        <w:gridCol w:w="109"/>
        <w:gridCol w:w="242"/>
        <w:gridCol w:w="638"/>
        <w:gridCol w:w="126"/>
        <w:gridCol w:w="109"/>
        <w:gridCol w:w="109"/>
        <w:gridCol w:w="109"/>
        <w:gridCol w:w="109"/>
        <w:gridCol w:w="109"/>
        <w:gridCol w:w="229"/>
        <w:gridCol w:w="458"/>
        <w:gridCol w:w="169"/>
      </w:tblGrid>
      <w:tr>
        <w:trPr/>
        <w:tc>
          <w:tcPr>
            <w:tcW w:w="1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819" w:type="dxa"/>
            <w:gridSpan w:val="44"/>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July 31, 2025</w:t>
            </w:r>
          </w:p>
        </w:tc>
        <w:tc>
          <w:tcPr>
            <w:tcW w:w="965" w:type="dxa"/>
            <w:gridSpan w:val="4"/>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Statement of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Statement of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Related-Party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Revenue Agribusiness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Revenue Other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Agribusiness Expense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Dividends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Revenue Agribusiness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Revenue Other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Agribusiness Expense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Dividends Paid</w:t>
            </w:r>
          </w:p>
        </w:tc>
      </w:tr>
      <w:tr>
        <w:trPr/>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water companies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YMIDD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FGF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Owner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 Mar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Law firm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Agro-Limo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Third party growers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13. Related-Party Transactions (continued)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Employees - The Company rents certain of its residential housing assets to employees on a month-to-month basis and records rental income from employees. </w:t>
      </w:r>
    </w:p>
    <w:p>
      <w:pPr>
        <w:pStyle w:val="TextBody"/>
        <w:bidi w:val="0"/>
        <w:spacing w:lineRule="auto" w:line="288" w:before="0" w:after="16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Mutual water companies - The Company has representation on the boards of directors of the mutual water companies in which the Company has investments, as well as other water districts. Refer to Note 8 - Other Assets. The Company recorded capital contributions, purchased water and water delivery services and had water payments due to the mutual water companies and districts.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60"/>
        <w:jc w:val="both"/>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Yuma Mesa Irrigation and Drainage District (“YMIDD”) - The Company has representation on the board of directors of YMIDD. The Company purchased water from YMIDD and had no amounts payable to them for such purchases. Additionally, the Company received fallowing revenue from YMIDD and had a receivable outstanding.</w:t>
      </w:r>
    </w:p>
    <w:p>
      <w:pPr>
        <w:pStyle w:val="TextBody"/>
        <w:bidi w:val="0"/>
        <w:spacing w:lineRule="auto" w:line="288" w:before="0" w:after="160"/>
        <w:jc w:val="both"/>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 xml:space="preserve">FGF Trapani (“FGF”) - FGF is a 49% partner in the Trapani Fresh joint venture in Argentina, and the Company had a receivable from FGF for lemon sales and the sale of packing supplies and a payable due to FGF for fruit purchases and services. The Company records revenue and receivables related to the licensing of intangible assets to FGF. The Company leases the Santa Clara ranch to FGF, and records rental revenue related to the leased land. In the second and third quarters of fiscal year 2026, the Company recorded a total reserve of $1,884,000 against the receivable which is recorded in selling, general and administrative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60"/>
        <w:jc w:val="both"/>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LLCB - The Company entered into a joint venture with Lewis for the residential development of its East Area I real estate development project and formed LLCB as the development entity. Refer to Note 5 - Real Estate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60"/>
        <w:jc w:val="both"/>
        <w:rPr/>
      </w:pP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rPr>
        <w:t>Principal owner - The Company has one principal owner with ownership shares over 10% and paid dividends to such owner through the first quarter of fiscal year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60"/>
        <w:jc w:val="both"/>
        <w:rPr/>
      </w:pPr>
      <w:r>
        <w:rPr>
          <w:rFonts w:ascii="Times New Roman;serif" w:hAnsi="Times New Roman;serif"/>
          <w:b w:val="false"/>
          <w:color w:val="000000"/>
          <w:sz w:val="13"/>
        </w:rPr>
        <w:t>(8)</w:t>
      </w:r>
      <w:r>
        <w:rPr>
          <w:color w:val="000000"/>
        </w:rPr>
        <w:t xml:space="preserve"> </w:t>
      </w:r>
      <w:r>
        <w:rPr>
          <w:rFonts w:ascii="Times New Roman;serif" w:hAnsi="Times New Roman;serif"/>
          <w:b w:val="false"/>
          <w:color w:val="000000"/>
          <w:sz w:val="20"/>
        </w:rPr>
        <w:t>Rosales - The Company has an equity interest in Rosales as noted in Note 6 - Equity in Investments. The Company recognized lemon and orange sales to Rosales and procured lemons and oranges from Rosales. The Company had no amounts due from Rosales for such sales and had amounts due to Rosales for such purchases. The Company has a receivable from the principal owner of Rosales who owns 53% of Rosales and 10% of PDA for a tax liability related to the PDA asset sale.</w:t>
      </w:r>
    </w:p>
    <w:p>
      <w:pPr>
        <w:pStyle w:val="TextBody"/>
        <w:bidi w:val="0"/>
        <w:spacing w:lineRule="auto" w:line="288" w:before="0" w:after="160"/>
        <w:jc w:val="both"/>
        <w:rPr/>
      </w:pPr>
      <w:r>
        <w:rPr>
          <w:rFonts w:ascii="Times New Roman;serif" w:hAnsi="Times New Roman;serif"/>
          <w:b w:val="false"/>
          <w:color w:val="000000"/>
          <w:sz w:val="13"/>
        </w:rPr>
        <w:t>(9)</w:t>
      </w:r>
      <w:r>
        <w:rPr>
          <w:color w:val="000000"/>
        </w:rPr>
        <w:t xml:space="preserve"> </w:t>
      </w:r>
      <w:r>
        <w:rPr>
          <w:rFonts w:ascii="Times New Roman;serif" w:hAnsi="Times New Roman;serif"/>
          <w:b w:val="false"/>
          <w:color w:val="000000"/>
          <w:sz w:val="20"/>
        </w:rPr>
        <w:t>Limco Del Mar, Ltd. (“Del Mar”) - The Company has an interest in Del Mar as a general partner and as a limited partner. Through August 3, 2025, the Company provided Del Mar with farm management services and Del Mar marketed lemons through the Company. The Company recorded revenue for farm management services provided to Del Mar in the first nine months of fiscal year 2025.</w:t>
      </w:r>
    </w:p>
    <w:p>
      <w:pPr>
        <w:pStyle w:val="TextBody"/>
        <w:bidi w:val="0"/>
        <w:spacing w:lineRule="auto" w:line="288" w:before="0" w:after="160"/>
        <w:jc w:val="both"/>
        <w:rPr/>
      </w:pPr>
      <w:r>
        <w:rPr>
          <w:rFonts w:ascii="Times New Roman;serif" w:hAnsi="Times New Roman;serif"/>
          <w:b w:val="false"/>
          <w:color w:val="000000"/>
          <w:sz w:val="13"/>
        </w:rPr>
        <w:t>(10)</w:t>
      </w:r>
      <w:r>
        <w:rPr>
          <w:color w:val="000000"/>
        </w:rPr>
        <w:t xml:space="preserve"> </w:t>
      </w:r>
      <w:r>
        <w:rPr>
          <w:rFonts w:ascii="Times New Roman;serif" w:hAnsi="Times New Roman;serif"/>
          <w:b w:val="false"/>
          <w:color w:val="000000"/>
          <w:sz w:val="20"/>
        </w:rPr>
        <w:t xml:space="preserve">Law firm - One of the Company’s directors is a partner at a law firm which provides legal services to the Company and the Company had amounts due for such services. </w:t>
      </w:r>
    </w:p>
    <w:p>
      <w:pPr>
        <w:pStyle w:val="TextBody"/>
        <w:bidi w:val="0"/>
        <w:spacing w:lineRule="auto" w:line="288" w:before="0" w:after="160"/>
        <w:jc w:val="both"/>
        <w:rPr/>
      </w:pPr>
      <w:r>
        <w:rPr>
          <w:rFonts w:ascii="Times New Roman;serif" w:hAnsi="Times New Roman;serif"/>
          <w:b w:val="false"/>
          <w:color w:val="000000"/>
          <w:sz w:val="13"/>
        </w:rPr>
        <w:t>(11)</w:t>
      </w:r>
      <w:r>
        <w:rPr>
          <w:color w:val="000000"/>
        </w:rPr>
        <w:t xml:space="preserve"> </w:t>
      </w:r>
      <w:r>
        <w:rPr>
          <w:rFonts w:ascii="Times New Roman;serif" w:hAnsi="Times New Roman;serif"/>
          <w:b w:val="false"/>
          <w:color w:val="000000"/>
          <w:sz w:val="20"/>
        </w:rPr>
        <w:t>Agro-Limo - The Company has an equity interest in Agro-Limo as noted in Note 6 - Equity in Investments. The Company has a receivable and interest income from Agro-Limo related to a Revolving Line of Credit for facility construction and recorded leased land revenue.</w:t>
      </w:r>
    </w:p>
    <w:p>
      <w:pPr>
        <w:pStyle w:val="TextBody"/>
        <w:bidi w:val="0"/>
        <w:spacing w:lineRule="auto" w:line="288" w:before="0" w:after="160"/>
        <w:jc w:val="both"/>
        <w:rPr/>
      </w:pPr>
      <w:r>
        <w:rPr>
          <w:rFonts w:ascii="Times New Roman;serif" w:hAnsi="Times New Roman;serif"/>
          <w:b w:val="false"/>
          <w:color w:val="000000"/>
          <w:sz w:val="13"/>
        </w:rPr>
        <w:t>(12)</w:t>
      </w:r>
      <w:r>
        <w:rPr>
          <w:color w:val="000000"/>
        </w:rPr>
        <w:t xml:space="preserve"> </w:t>
      </w:r>
      <w:r>
        <w:rPr>
          <w:rFonts w:ascii="Times New Roman;serif" w:hAnsi="Times New Roman;serif"/>
          <w:b w:val="false"/>
          <w:color w:val="000000"/>
          <w:sz w:val="20"/>
        </w:rPr>
        <w:t>Third party growers - A member of the Company’s board of directors and a member of management are third-party growers that market lemons through the Company, and the Company had immaterial amounts due to such growers for lemon procurement.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14. Income Taxes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nine months ended July 31, 2026 differs from the federal statutory tax rate of 21% mainly due to foreign jurisdictions that are taxed at different rates, state taxes, tax impact of stock-based compensation, executive compensation, nondeductible tax items and valuation allowances on certain deferred tax assets of foreign subsidiaries. The Company has no material uncertain tax positions as of July 31, 2026. The Company recognizes interest expense and penalties related to income tax matters as a component of income tax expense. There was no material accrued interest or penalties associated with uncertain tax positions as of July 31, 2026.</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15.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or operating results. Legal claims are inherently uncertain, however, and it is possible that the Company’s business, financial condition, liquidity and/or operating results could be adversely affected in the future by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16. Stock-based Compensation</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has a stock-based compensation plan (the “Stock Plan”) that allows for the grant of restricted common stock of the Company to members of management, key executives and non-employee directors. The fair value of such awards is based on the fair value of the Company’s common stock on the date of grant, and all are classified as equity awards.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Management Awards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Certain time-based restricted stock grants are made to management under the Stock Plan and generally vest over a three-year period as service is provided.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During November 2025, 33,885 shares of restricted stock with a per share price of $13.28 were granted to management. The related compensation expense of $450,000 will be recognized over three years as the shares vest.</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During January 2026, 8,812 shares of restricted stock with a per share price of $14.60 were granted to management. The related compensation expense of $129,000 will be recognized over three years as the shares vest.</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November 2025 and January 2026, the Company entered into Performance Share-Based Award Agreements with members of management whereby the employees may be granted up to a maximum of 85,394 shares of common stock in the future based on the achievement of certain long-term performance goals over a three-year period.</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Executive Awards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Certain time-based restricted stock grants are made to key executives under the Stock Plan and generally vest over a three-year period as service is provided.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Company's Chief Financial Officer and Treasurer resigned from the Company. As a result, 31,248 nonvested shares were forfeited, and the Company reversed $128,000 of previously recognized stock-based compensation expense.</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During November 2025, 56,476 shares of restricted stock with a per share price of $13.28 were granted to key executives, of which 18,825 were forfeited in February 2026. The related compensation expense after forfeiture of $250,000 will be recognized over three years as the shares vest.</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November 2025, the Company entered into Performance Share-Based Award Agreements with key executives whereby the executives may be granted up to a maximum of 112,952 shares of common stock in the future based on the achievement of certain long-term performance goals over a three-year period. In February 2026, the maximum number of shares of common stock that may be awarded to remaining key executives was reduced to 75,302 shares.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Director Awards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Certain time-based restricted stock grants are made on an annual basis to non-employee directors under the Stock Plan and generally vest after a one-year period as service is provided. During April 2026, 37,890 shares were granted as Director Awards with a per share price of $13.46.</w:t>
      </w:r>
    </w:p>
    <w:p>
      <w:pPr>
        <w:pStyle w:val="TextBody"/>
        <w:bidi w:val="0"/>
        <w:spacing w:lineRule="auto" w:line="288" w:before="0" w:after="160"/>
        <w:jc w:val="both"/>
        <w:rPr/>
      </w:pPr>
      <w:r>
        <w:rPr>
          <w:rFonts w:ascii="Times New Roman;serif" w:hAnsi="Times New Roman;serif"/>
          <w:b w:val="false"/>
          <w:i/>
          <w:color w:val="000000"/>
          <w:sz w:val="20"/>
        </w:rPr>
        <w:t xml:space="preserve">Exchange of Common </w:t>
      </w:r>
      <w:r>
        <w:rPr>
          <w:rFonts w:ascii="Times New Roman;serif" w:hAnsi="Times New Roman;serif"/>
          <w:b w:val="false"/>
          <w:color w:val="000000"/>
          <w:sz w:val="20"/>
        </w:rPr>
        <w:t>Stock</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July 31, 2026 and 2025, members of management exchanged 29,187 and 53,769 shares of common stock with fair values totaling $423,000 and $1,326,000, respectively, at the dates of the exchanges, for the payment of payroll taxes associated with the vesting of restricted stock under the Stock Plan.</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17. Segment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in four reportable operating segments: fresh lemons, lemon packing, avocados and other agribusiness. The reportable operating segments of the Company are strategic business units with different products and services, distribution processes and customer bases. The fresh lemons segment includes sales, growing and harvest costs and third-party grower and supplier costs related to fresh lemons. The lemon packing segment includes packing revenues and packing costs. Fresh lemons and lemon packing revenues relate to lemons grown on the Company’s orchards and lemons procured from third-party growers. The avocados segment includes sales, farming and harvest costs. The other agribusiness segment primarily includes sales, growing and harvest costs, brokered fruit costs of oranges and specialty citrus, wine grapes, fallowing revenue, shipping revenue and shipping costs, and included farm management in fiscal year 2025. During fiscal year 2025, the Company changed its presentation of fresh lemons and lemon packing revenue and costs to remove reference to intersegment revenue, intersegment costs and expenses and eliminations.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the chief executive officer. The Company’s CODM measures the operating performance of the Company’s operating segments and allocates resources based on its evaluation. Revenues and operating income or loss, excluding depreciation and amortization, are used to monitor budget versus actual results. The significant expense categories and amounts align with the segment-level information that is regularly provided to the Company’s CODM. No asset information is provided for reportable operating segments, as these specified amounts are not included in the measure of segment profit or loss reviewed by the Company’s CODM. The Company does not separately allocate depreciation and amortization to its fresh lemons, lemon packing, avocados and other agribusiness segments. The Company also does not allocate various gains or losses included in operating income or loss, selling, general and administrative expenses, total other income or expense and income taxes, or specifically identify them to its operating segments.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adopted ASU 2023-07 as of fiscal year 2025 and, as a result, expanded its segment information to include significant segment expenses and other segment items. Other segment items for the lemon packing segment include lease expenses, utilities, repairs and maintenance, professional assessments and fees, insurance, property taxes, shipping, cold storage, custom packing and other packinghouse operational expenses. Other segment items for the other agribusiness segment are primarily shipping expenses. Other segment items in Corporate and Other include rental and operations expenses. Prior year information has been recast to conform to the current year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Segment information for the three months ended July 31, 2026 is as follows (in thousands):</w:t>
      </w:r>
    </w:p>
    <w:tbl>
      <w:tblPr>
        <w:tblW w:w="10205" w:type="dxa"/>
        <w:jc w:val="left"/>
        <w:tblInd w:w="0" w:type="dxa"/>
        <w:tblLayout w:type="fixed"/>
        <w:tblCellMar>
          <w:top w:w="28" w:type="dxa"/>
          <w:left w:w="28" w:type="dxa"/>
          <w:bottom w:w="28" w:type="dxa"/>
          <w:right w:w="28" w:type="dxa"/>
        </w:tblCellMar>
      </w:tblPr>
      <w:tblGrid>
        <w:gridCol w:w="1332"/>
        <w:gridCol w:w="1090"/>
        <w:gridCol w:w="1095"/>
        <w:gridCol w:w="196"/>
        <w:gridCol w:w="646"/>
        <w:gridCol w:w="109"/>
        <w:gridCol w:w="196"/>
        <w:gridCol w:w="646"/>
        <w:gridCol w:w="109"/>
        <w:gridCol w:w="196"/>
        <w:gridCol w:w="556"/>
        <w:gridCol w:w="109"/>
        <w:gridCol w:w="271"/>
        <w:gridCol w:w="583"/>
        <w:gridCol w:w="152"/>
        <w:gridCol w:w="207"/>
        <w:gridCol w:w="683"/>
        <w:gridCol w:w="116"/>
        <w:gridCol w:w="196"/>
        <w:gridCol w:w="610"/>
        <w:gridCol w:w="109"/>
        <w:gridCol w:w="196"/>
        <w:gridCol w:w="646"/>
        <w:gridCol w:w="156"/>
      </w:tblGrid>
      <w:tr>
        <w:trPr/>
        <w:tc>
          <w:tcPr>
            <w:tcW w:w="1332"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Fresh</w:t>
              <w:br/>
              <w:t>Lemons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Lemon</w:t>
              <w:br/>
              <w:t>Packing</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br/>
              <w:t>Agribusiness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Agribusiness</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and Other</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42,165 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Costs and expenses, excluding depreciation and amortization: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Labor and benefits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Packing supplies and fruit treatments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Harvest costs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Growing costs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Third party grower and supplier costs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segment items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Loss and expected loss on disposal of assets, net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51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Selling, general and administrative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Total costs and expenses, excluding depreciation and amortization </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44,821 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Operating (loss)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Loss before income tax benefit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(3,976)</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17. Segment Information (continued)</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Segment information for the three months ended July 31, 2025 is as follows (in thousands):</w:t>
      </w:r>
    </w:p>
    <w:tbl>
      <w:tblPr>
        <w:tblW w:w="10205" w:type="dxa"/>
        <w:jc w:val="left"/>
        <w:tblInd w:w="0" w:type="dxa"/>
        <w:tblLayout w:type="fixed"/>
        <w:tblCellMar>
          <w:top w:w="28" w:type="dxa"/>
          <w:left w:w="28" w:type="dxa"/>
          <w:bottom w:w="28" w:type="dxa"/>
          <w:right w:w="28" w:type="dxa"/>
        </w:tblCellMar>
      </w:tblPr>
      <w:tblGrid>
        <w:gridCol w:w="1331"/>
        <w:gridCol w:w="1091"/>
        <w:gridCol w:w="1096"/>
        <w:gridCol w:w="196"/>
        <w:gridCol w:w="646"/>
        <w:gridCol w:w="109"/>
        <w:gridCol w:w="196"/>
        <w:gridCol w:w="646"/>
        <w:gridCol w:w="109"/>
        <w:gridCol w:w="196"/>
        <w:gridCol w:w="556"/>
        <w:gridCol w:w="109"/>
        <w:gridCol w:w="229"/>
        <w:gridCol w:w="649"/>
        <w:gridCol w:w="128"/>
        <w:gridCol w:w="207"/>
        <w:gridCol w:w="683"/>
        <w:gridCol w:w="116"/>
        <w:gridCol w:w="196"/>
        <w:gridCol w:w="610"/>
        <w:gridCol w:w="109"/>
        <w:gridCol w:w="196"/>
        <w:gridCol w:w="646"/>
        <w:gridCol w:w="155"/>
      </w:tblGrid>
      <w:tr>
        <w:trPr/>
        <w:tc>
          <w:tcPr>
            <w:tcW w:w="133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Fresh</w:t>
              <w:br/>
              <w:t>Lemons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Lemon</w:t>
              <w:br/>
              <w:t>Packing</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br/>
              <w:t>Agribusiness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Agribusiness</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and Other</w:t>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45,942 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47,478 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Costs and expenses, excluding depreciation and amortization: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and benefits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Packing supplies and fruit treatments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Harvest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Growing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Third party grower and supplier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items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51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assets,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 costs and expenses, excluding depreciation and amortization</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39,808 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Operating (loss)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Loss before income tax provision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60"/>
        <w:jc w:val="both"/>
        <w:rPr>
          <w:rFonts w:ascii="Times New Roman;serif" w:hAnsi="Times New Roman;serif"/>
          <w:b w:val="false"/>
          <w:color w:val="000000"/>
          <w:sz w:val="20"/>
        </w:rPr>
      </w:pPr>
      <w:r>
        <w:rPr>
          <w:rFonts w:ascii="Times New Roman;serif" w:hAnsi="Times New Roman;serif"/>
          <w:b w:val="false"/>
          <w:color w:val="000000"/>
          <w:sz w:val="20"/>
        </w:rPr>
        <w:t>Segment information for the nine months ended July 31, 2026 is as follows (in thousands):</w:t>
      </w:r>
    </w:p>
    <w:tbl>
      <w:tblPr>
        <w:tblW w:w="10205" w:type="dxa"/>
        <w:jc w:val="left"/>
        <w:tblInd w:w="0" w:type="dxa"/>
        <w:tblLayout w:type="fixed"/>
        <w:tblCellMar>
          <w:top w:w="28" w:type="dxa"/>
          <w:left w:w="28" w:type="dxa"/>
          <w:bottom w:w="28" w:type="dxa"/>
          <w:right w:w="28" w:type="dxa"/>
        </w:tblCellMar>
      </w:tblPr>
      <w:tblGrid>
        <w:gridCol w:w="1258"/>
        <w:gridCol w:w="1012"/>
        <w:gridCol w:w="1016"/>
        <w:gridCol w:w="215"/>
        <w:gridCol w:w="710"/>
        <w:gridCol w:w="119"/>
        <w:gridCol w:w="196"/>
        <w:gridCol w:w="646"/>
        <w:gridCol w:w="109"/>
        <w:gridCol w:w="196"/>
        <w:gridCol w:w="556"/>
        <w:gridCol w:w="109"/>
        <w:gridCol w:w="229"/>
        <w:gridCol w:w="649"/>
        <w:gridCol w:w="128"/>
        <w:gridCol w:w="207"/>
        <w:gridCol w:w="683"/>
        <w:gridCol w:w="116"/>
        <w:gridCol w:w="196"/>
        <w:gridCol w:w="696"/>
        <w:gridCol w:w="109"/>
        <w:gridCol w:w="196"/>
        <w:gridCol w:w="696"/>
        <w:gridCol w:w="158"/>
      </w:tblGrid>
      <w:tr>
        <w:trPr/>
        <w:tc>
          <w:tcPr>
            <w:tcW w:w="125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Fresh Lemons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Lemon</w:t>
              <w:br/>
              <w:t>Packing</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br/>
              <w:t>Agribusiness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Agribusiness</w:t>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and Other</w:t>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Revenues from external customers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37,094 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81,451 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85,940 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Costs and expenses, excluding depreciation and amortization:</w:t>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and benefits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Packing supplies and fruit treatments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Harvest costs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Growing costs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Third party grower and supplier costs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29,868 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items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assets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and expected loss on disposal of assets, net</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income</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 costs and expenses, excluding depreciation and amortization</w:t>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38,943 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78,018 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115,025 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Operating (loss) income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(35,205)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10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Loss before income tax benefit</w:t>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(43,590)</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40" w:before="0" w:after="160"/>
        <w:jc w:val="both"/>
        <w:rPr>
          <w:rFonts w:ascii="Times New Roman;serif" w:hAnsi="Times New Roman;serif"/>
          <w:b/>
          <w:color w:val="000000"/>
          <w:sz w:val="20"/>
        </w:rPr>
      </w:pPr>
      <w:r>
        <w:rPr>
          <w:rFonts w:ascii="Times New Roman;serif" w:hAnsi="Times New Roman;serif"/>
          <w:b/>
          <w:color w:val="000000"/>
          <w:sz w:val="20"/>
        </w:rPr>
        <w:t>17. Segment Information (continued)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60"/>
        <w:jc w:val="both"/>
        <w:rPr>
          <w:rFonts w:ascii="Times New Roman;serif" w:hAnsi="Times New Roman;serif"/>
          <w:b w:val="false"/>
          <w:color w:val="000000"/>
          <w:sz w:val="20"/>
        </w:rPr>
      </w:pPr>
      <w:r>
        <w:rPr>
          <w:rFonts w:ascii="Times New Roman;serif" w:hAnsi="Times New Roman;serif"/>
          <w:b w:val="false"/>
          <w:color w:val="000000"/>
          <w:sz w:val="20"/>
        </w:rPr>
        <w:t>Segment information for the nine months ended July 31, 2025 is as follows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238"/>
        <w:gridCol w:w="988"/>
        <w:gridCol w:w="992"/>
        <w:gridCol w:w="196"/>
        <w:gridCol w:w="646"/>
        <w:gridCol w:w="109"/>
        <w:gridCol w:w="196"/>
        <w:gridCol w:w="646"/>
        <w:gridCol w:w="109"/>
        <w:gridCol w:w="196"/>
        <w:gridCol w:w="646"/>
        <w:gridCol w:w="109"/>
        <w:gridCol w:w="207"/>
        <w:gridCol w:w="683"/>
        <w:gridCol w:w="116"/>
        <w:gridCol w:w="196"/>
        <w:gridCol w:w="736"/>
        <w:gridCol w:w="109"/>
        <w:gridCol w:w="196"/>
        <w:gridCol w:w="695"/>
        <w:gridCol w:w="109"/>
        <w:gridCol w:w="196"/>
        <w:gridCol w:w="736"/>
        <w:gridCol w:w="155"/>
      </w:tblGrid>
      <w:tr>
        <w:trPr/>
        <w:tc>
          <w:tcPr>
            <w:tcW w:w="123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Fresh</w:t>
              <w:br/>
              <w:t>Lemons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Lemon</w:t>
              <w:br/>
              <w:t>Packing</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br/>
              <w:t>Agribusiness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Agribusiness</w:t>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and Other</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116,902 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Costs and expenses, excluding depreciation and amortization: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and benefits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Packing supplies and fruit treatments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Harvest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Growing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Third party grower and supplier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items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sales of water rights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assets,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 costs and expenses, excluding depreciation and amortization:</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Operating (loss)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 other income</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Loss before income tax benefit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(9,276)</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Revenue related to rental operations are included in “Corporate and Other.” The detail of other agribusiness revenues is as follows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673" w:type="dxa"/>
        <w:jc w:val="left"/>
        <w:tblInd w:w="0" w:type="dxa"/>
        <w:tblLayout w:type="fixed"/>
        <w:tblCellMar>
          <w:top w:w="28" w:type="dxa"/>
          <w:left w:w="28" w:type="dxa"/>
          <w:bottom w:w="28" w:type="dxa"/>
          <w:right w:w="28" w:type="dxa"/>
        </w:tblCellMar>
      </w:tblPr>
      <w:tblGrid>
        <w:gridCol w:w="989"/>
        <w:gridCol w:w="866"/>
        <w:gridCol w:w="875"/>
        <w:gridCol w:w="211"/>
        <w:gridCol w:w="46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July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Oranges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Specialty citrus and wine grapes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Farm management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agribusiness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18. Series B and Series B-2 Preferred Stock and Treasury Stock</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Series B and Series B-2 Preferred Stock</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1997, the Company designated 30,000 shares of Class B Preferred Stock as $8.75 Voting Preferred Stock, $100.00 Par Value, Series B (the “Series B Stock”). The holders of shares of Series B Stock are entitled to receive cumulative cash dividends at an annual rate of 8.75% of par value. Such dividends are payable quarterly on the first day of January, April, July and October in each year. In May 2026, the holders of the Series B Stock elected to convert 1,479 shares of Series B Stock into 18,488 common shares.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2014, the Company designated 10,000 shares of Class B Preferred Stock as 4% Voting Preferred Stock, $100.00 Par Value, Series B-2 (“Series B-2 Preferred Stock”). The holder of shares of the Series B-2 Preferred Stock is entitled to receive cumulative cash dividends at an annual rate of 4% of the liquidation value of $1,000 per share. Such dividends are payable quarterly on the first day of January, April, July and October in each year.</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On March 23, 2026, the Board of Directors paused regular cash dividends on the Company’s outstanding common stock, as well as dividends on the Series B Stock and Series B-2 Preferred Stock. As of July 31, 2026, (i) 13,311 shares of Series B Stock and 9,300 shares of Series B-2 Preferred Stock were issued and outstanding; (ii) the dividend arrearages on Series B Stock were $4.38 per share, representing an aggregate allocation of $58,000; and (iii) the dividend arrearages on Series B-2 Preferred Stock were $20.00 per share, representing an aggregate allocation of $186,000.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18. Series B and Series B-2 Preferred Stock and Treasury Stock (continued)</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Treasury Stock Share Repurchase Program</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March 2025, the Company’s Board of Directors approved a share repurchase program authorizing the Company to purchase up to $30,000,000 of its shares of outstanding common stock. The share repurchase program may be modified, suspended or discontinued at any time and does not commit the Company to repurchase any shares. No shares have been repurchased under this program as of 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19. Insurance Proceeds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During the first nine months of fiscal year 2026, the Company received aggregate insurance proceeds of $5,444,000 related to combined business interruption and casualty loss claims arising from incidents at its packinghouses. In the first quarter of fiscal year 2026, $3,155,000 was recorded as a reduction of agribusiness expenses. In the second quarter of fiscal year 2026, $1,175,000 was recorded as a reduction of agribusiness expenses and $1,114,000 was recorded in other operating income. On September 2, 2026, the Company received confirmation from its insurance company that an additional $2,000,000 of insurance proceeds is to be paid for such claims. The Company anticipates receiving these additional insurance proceeds in the fourth quarter of fiscal year 2026 at which time income will be recognized for the amounts received.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20. Subsequent Events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evaluated events subsequent to July 31, 2026 through the date of this filing, to assess the need for potential recognition or disclosure in the unaudited consolidated financial statements. Based upon this evaluation, except as described in the notes to consolidated financial statements, it was determined that no other subsequent events occurred that required recognition or disclosure in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Limoneira Company, a Delaware corporation, is the successor to several businesses with operations in California since 1893. We are primarily an agribusiness company founded and based in Santa Paula, California, committed to responsibly using and managing our approximately 7,000 acres of land, water resources and other assets to maximize long-term stockholder value. Our current operations consist of fruit production and packing operations, rental operations, real estate and capital investment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are one of California’s oldest lemon growers and according to the California Avocado Commission, we are one of the largest growers of avocados in the United States. In addition to growing lemons and avocados, we grow wine grapes. We have agricultural plantings throughout Ventura and San Luis Obispo Counties in California and Jujuy, Argentina, which collectively consist of approximately 1,700 acres of lemons, 1,700 acres of avocados and 400 acres of wine grapes. We also operate our own packinghouse in Santa Paula, California, where we process and pack lemons that we grow, as well as lemons grown by others. We have a 51% interest in a joint venture, Trapani Fresh Consorcio de Cooperacion (“Trapani Fresh”), a lemon orchard in Argentina. We have a 47% interest in Rosales S.A. (“Rosales”), a citrus packing, marketing and sales business located near La Serena, Chile. We have a 90% interest in Fruticola Pan de Azucar S.A. (“PDA”) and a 100% interest in Agricola San Pablo, SpA (“San Pablo”). Through November 7, 2025, PDA and San Pablo owned lemon and orange orchards located near La Serena, Chile.</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also use surface water in Arizona from the Colorado River through the Yuma Mesa Irrigation and Drainage District (“YMIDD”). We use ground water provided by wells and surface water for our Trapani Fresh farming operations in Argentina.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For more than 130 years, we have been making strategic investments in California agriculture and real estate. We currently have an interest in three real estate development projects in California. These projects include multi-family housing, single-family homes and apartments of approximately 800 units in various stages of planning and development, as well as entitlement efforts related to Ventura County farmland.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Business Division Summary</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have three business divisions: agribusiness, rental operations and real estate development. The agribusiness division is comprised of four reportable operating segments: fresh lemons, lemon packing, avocados and other agribusiness, which primarily includes oranges, specialty citrus and wine grapes. The agribusiness division includes our core operations of farming, harvesting and lemon packing operations. The rental operations division includes our residential and commercial rentals, leased land operations and organic recycling. The real estate development division includes our investments in real estate development projects. Generally, we see our Company as a land and farming company that generates annual cash flows to support our progress into diversified real estate development activities. Financial information and discussion of our four reportable segments are contained in the notes to the accompanying consolidated financial statements of this Quarterly Report.</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Agribusiness Summary</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June 2025, Limoneira entered into a Commercial Packinghouse License Agreement (the “Sunkist Agreement”) with Sunkist Growers, Inc., a nonprofit marketing cooperative (“Sunkist”), effective as of November 1, 2025. The agreement permits us to grade, label, pack, prepare for marketing by Sunkist and ship Sunkist grower lemons, and to use Sunkist trademarks in these activities. The agreement has an initial term of three years with automatic one-year extensions. As of November 1, 2025, Sunkist performs the Company’s lemon sales and marketing operations. Prior to November 1, 2025, the Company marketed and sold citrus directly to food service, wholesale and retail customers throughout the United States, Canada, Asia and certain other international markets. We sell our avocados to third-party packinghouses and our wine grapes to wine producers.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Historically, our agribusiness division has been seasonal in nature, with quarterly revenues fluctuating depending on the timing and variety of crops being harvested. Growing costs, also referred to as cultural costs, in our agribusiness division tend to be lower in the first and second quarters and higher in the third and fourth quarters because of the timing of expensing cultural costs in the current year that were inventoried in the prior year. Our harvest costs generally increase in the second quarter and peak in the third quarter. In connection with the Sunkist Agreement, lemon revenues are expected to peak in the third and fourth quarters.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Fluctuations in price are a function of global supply and demand with weather conditions, such as unusually low temperatures, typically having the most dramatic effect on the amount of lemons supplied in any individual growing season. We believe we have a competitive advantage by maintaining our own lemon packing operations, even though a significant portion of the costs related to these operations are fixed. As a result, cost per carton is a function of fruit throughput. While we regularly monitor our costs for redundancies and opportunities for cost reductions, we also supplement the number of lemons we pack in our packinghouse with additional lemons procured from other growers. Because the fresh utilization rate for our lemons, or percentage of lemons we harvest and pack that are sold to the fresh market, is directly related to the quality of lemons we pack and, consequently, the price we receive per 40-pound box, we only pack lemons from other growers if we determine their lemons are of good quality.</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Our avocado plantings have been profitable and historically were pursued to diversify our product line. Since fiscal year 2023, we expanded our avocado production by 800 acres, and we plan to expand an additional 200 acres through fiscal year 2027. This 1,000-acre expansion reflects our strategy to capitalize on robust consumer demand trends for avocados.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addition to growing lemons and avocados, we grow wine grapes. We regularly monitor the demand for the fruit we grow in the current marketplace to identify trends.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Rental Operations Summary</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Our rental operations include our residential and commercial rentals, leased land operations and organic recycling. Our residential and commercial rentals generate cash flows that we use to partially fund the operating costs of our business. In addition, our leased land business provides us with a profitable method to diversify the use of our land. Revenue from rental operations is generally level throughout the year.</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Real Estate Development Summary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invest in real estate investment projects and recognize that long-term strategies are required for successful real estate development activities. For real estate development projects and joint ventures, it is not unusual for the timing and amounts of revenues and costs, partner contributions and distributions, project loans, other financing assumptions and project cash flows to be impacted by government approvals, project revenue and cost estimates and assumptions, economic conditions, financing sources and product demand as well as other factors. Such factors could affect our results of operations, cash flows and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Water and Mineral Rights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Our water resources include water rights, usage rights and pumping rights to the water in aquifers under, and canals that run through, the land we own. We believe we have adequate supplies of water for our agribusiness segments as well as our rental and real estate development activities. Water for our farming operations located in Ventura County, California is sourced from the existing water resources associated with our land, which includes approximately 8,500 acre-feet of water rights in the adjudicated Santa Paula Basin (aquifer) and additional rights in the un-adjudicated Fillmore Basin (aquifer). Our Windfall Farms property located in San Luis Obispo County, California obtains water from wells that derive water from the Paso Robles Basin (aquifer). Our farming operations in Yuma, Arizona source water from the Colorado River through the YMIDD, where we have access to approximately 11,500 acre-feet of Class 3 Colorado River water rights. We use ground water provided by wells and surface water for our Trapani Fresh farming operations in Argentina.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Southern California is experiencing above average precipitation for the 2025 to 2026 rainfall season. As of July 31, 2026, Ventura County was free from general drought conditions. We continue to assess the impact drought conditions may have on our California orchards.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August 2026, the U.S. Bureau of Reclamation announced that Lake Mead will continue to operate in a Tier 1 shortage in 2027, which requires Arizona to forfeit approximately 18% of the state’s yearly allotment of water from Lake Mead. In response to this and prior years’ water shortages, we entered into fallowing agreements during fiscal years 2022 and 2023, and in February 2025, extended an existing fallowing agreement through calendar year 2026. In April 2026, we made a decision to remove all of our remaining lemon orchards in Yuma, Arizona. This decision aligns with our strategic plan to monetize Class 3 Colorado River water rights by conserving water via crop substitution to low water use crops. We continue to assess the impact these ongoing water reductions may have on our Arizona land.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On June 6, 2025, we entered into a Commercial Packinghouse License Agreement with Sunkist Growers, Inc., a nonprofit marketing cooperative, effective as of November 1, 2025. The agreement permits us to grade, label, pack, prepare for marketing by Sunkist and ship Sunkist grower lemons, and to use Sunkist trademarks in these activities. The agreement has an initial term of three years with automatic one-year extensions. As of November 1, 2025, Sunkist performs the Company’s lemon sales and marketing operations.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On November 7, 2025, our Chilean subsidiaries, PDA and San Pablo (collectively, the “Sellers”), each entered into a Purchase and Sale Agreement and Novation Agreement (collectively, the “Purchase Agreements”) with San Pedro, SpA, a Chilean joint stock company (the “Buyer”), to sell certain real estate parcels consisting of approximately 500 acres of lemons, 100 acres of oranges and other unplanted lands including water rights associated with the parcels for an aggregate purchase price of $15.0 million. The transactions closed upon transfer of the deeds simultaneously with the execution of the Purchase Agreements.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After a period of approximately 120 days to record the transactions, which is customary in Chilean real estate transactions, the Buyer made an initial payment to the Sellers in the aggregate amount of $6.8 million, of which approximately $0.7 million is deferred until certain requirements have been fulfilled. The remainder of the Buyer’s payment obligations, in the aggregate amount of $8.2 million, will be made in installment payments in amounts that will be calculated based on the excess free cash flows of the combined operations of the sold properties and a third citrus ranch owned by the Buyer, measured annually as of March 31 until the remaining balance is paid in full (the “Balance Payments”). Following the final Balance Payment, the Buyer will also make an additional payment, in an amount equal to 50% of the prior year’s Balance Payment. The Buyer’s payment obligations are secured by a pledge on its corporate equity interests in favor of the Sellers. The Company recorded an immaterial gain on the disposal of assets.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On March 23, 2026, the Board of Directors (the “Board”) paused regular cash dividends on our outstanding common stock, as well as dividends on our Series B Stock and Series B-2 Preferred Stock, to support strategic capital investments, including transitioning a portion of our agricultural lands to higher-value avocado production and developing new housing. The Board will monitor the incremental increases in cash flow to the Company attributable to these strategic capital investments and expects to resume dividends aligned with historical practice as soon as the Board deems it prudent to do so.</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On April 14, 2026, the Company and California Wood Recycling, Inc., a California corporation dba Agromin (“Agromin”), entered into the Operating Agreement of Agromin-Limoneira LLC (“Agro-Limo”), which was formed for the purpose of facilitating a 50/50 joint venture between the Company and Agromin to design, construct and operate an organics recycling facility on land owned by the Company in Ventura County. Such facility is expected to be operational by the second half of fiscal year 2027 and the Company will lease the site to Agro-Limo and provide certain interim financing.</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2026, we made the decision to cease citrus farming operations on the remaining 600 lemon acres located at our Associated Citrus Packers property in Yuma, Arizona. This decision aligns with our strategic plan to monetize Class 3 Colorado River water rights by conserving water via crop substitution to low-water-use crops. As a result, we recorded a loss on disposal of assets of $7.2 million in the second quarter of fiscal year 2026.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On April 14, 2026, our subsidiary, Windfall Investors, LLC, entered into a Purchase and Sale Agreement to sell an 80% undivided tenant-in-common interest in our Windfall Farms property located in Paso Robles, California, consisting of approximately 724 acres of land, including approximately 400 acres of wine grapes and related improvements and infrastructure. The aggregate purchase price was $16.0 million, consisting of $10.0 million in cash and a $6.0 million promissory note secured by a deed of trust. As a result of the pending transactions contemplated by such Purchase and Sale Agreement, in the second quarter of fiscal year 2026 we recorded an impairment of $9.3 million on the property, plant and equipment and an expected loss on disposal of $0.9 million related to expected transaction costs. On June 15, 2026, we received written notice of termination from the potential buyer and the proposed transaction was terminated.</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On August 15, 2026, our subsidiary, Windfall Investors, LLC, entered into a Purchase and Sale Agreement with a different potential buyer to sell the Windfall Farms property for a purchase price of $15.0 million following a public auction. The transaction is expected to close on September 14, 2026, subject to customary closing conditions. As a result of the pending transaction contemplated by the second Purchase and Sale Agreement, the Company recognized an additional impairment charge of $4.1 million in the third quarter of fiscal year 2026, for an aggregate impairment of $13.5 million for the nine months ended July 31, 2026.</w:t>
      </w:r>
    </w:p>
    <w:p>
      <w:pPr>
        <w:pStyle w:val="TextBody"/>
        <w:bidi w:val="0"/>
        <w:spacing w:before="0" w:after="160"/>
        <w:jc w:val="both"/>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results of operations (in thousands):</w:t>
      </w:r>
    </w:p>
    <w:tbl>
      <w:tblPr>
        <w:tblW w:w="10205" w:type="dxa"/>
        <w:jc w:val="left"/>
        <w:tblInd w:w="0" w:type="dxa"/>
        <w:tblLayout w:type="fixed"/>
        <w:tblCellMar>
          <w:top w:w="28" w:type="dxa"/>
          <w:left w:w="28" w:type="dxa"/>
          <w:bottom w:w="28" w:type="dxa"/>
          <w:right w:w="28" w:type="dxa"/>
        </w:tblCellMar>
      </w:tblPr>
      <w:tblGrid>
        <w:gridCol w:w="1433"/>
        <w:gridCol w:w="1215"/>
        <w:gridCol w:w="1198"/>
        <w:gridCol w:w="211"/>
        <w:gridCol w:w="721"/>
        <w:gridCol w:w="109"/>
        <w:gridCol w:w="109"/>
        <w:gridCol w:w="109"/>
        <w:gridCol w:w="109"/>
        <w:gridCol w:w="211"/>
        <w:gridCol w:w="721"/>
        <w:gridCol w:w="109"/>
        <w:gridCol w:w="109"/>
        <w:gridCol w:w="109"/>
        <w:gridCol w:w="109"/>
        <w:gridCol w:w="229"/>
        <w:gridCol w:w="846"/>
        <w:gridCol w:w="118"/>
        <w:gridCol w:w="118"/>
        <w:gridCol w:w="118"/>
        <w:gridCol w:w="118"/>
        <w:gridCol w:w="118"/>
        <w:gridCol w:w="109"/>
        <w:gridCol w:w="211"/>
        <w:gridCol w:w="826"/>
        <w:gridCol w:w="109"/>
        <w:gridCol w:w="109"/>
        <w:gridCol w:w="109"/>
        <w:gridCol w:w="109"/>
        <w:gridCol w:w="109"/>
        <w:gridCol w:w="109"/>
        <w:gridCol w:w="158"/>
      </w:tblGrid>
      <w:tr>
        <w:trPr/>
        <w:tc>
          <w:tcPr>
            <w:tcW w:w="1433"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318" w:type="dxa"/>
            <w:gridSpan w:val="26"/>
            <w:tcBorders/>
          </w:tcPr>
          <w:p>
            <w:pPr>
              <w:pStyle w:val="TableContents"/>
              <w:bidi w:val="0"/>
              <w:spacing w:before="0" w:after="283"/>
              <w:jc w:val="left"/>
              <w:rPr>
                <w:sz w:val="4"/>
                <w:szCs w:val="4"/>
              </w:rPr>
            </w:pPr>
            <w:r>
              <w:rPr>
                <w:sz w:val="4"/>
                <w:szCs w:val="4"/>
              </w:rPr>
            </w:r>
          </w:p>
        </w:tc>
      </w:tr>
      <w:tr>
        <w:trPr/>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July 31,</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Agribusiness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85,940 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sales of water rights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expected loss on disposal of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121,145 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sales of water rights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expected loss on disposal of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patronage dividends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(losses) of investments,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 benefit (provision)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(43,590)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Limoneira Company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(33,840)</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stock-based compensation, impairment of assets, loss and expected loss on disposal of assets, net, and foreign currency gains or losses, are important measures to evaluate our results of operations between periods on a more comparable basis. Beginning in fiscal year 2026, adjusted EBITDA excludes foreign currency gains or losses, as management believes this is a better representation of cash generated by operations. Foreign currency losses were immaterial in fiscal year 2025 and, therefore, were not separately adjusted.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EBITDA and adjusted EBITDA are summarized and reconciled to net loss attributable to Limoneira Company, which management considers to be the most directly comparable financial measure calculated and presented in accordance with GAAP, as follows (in thousands):</w:t>
      </w:r>
    </w:p>
    <w:tbl>
      <w:tblPr>
        <w:tblW w:w="9338" w:type="dxa"/>
        <w:jc w:val="left"/>
        <w:tblInd w:w="0" w:type="dxa"/>
        <w:tblLayout w:type="fixed"/>
        <w:tblCellMar>
          <w:top w:w="28" w:type="dxa"/>
          <w:left w:w="28" w:type="dxa"/>
          <w:bottom w:w="28" w:type="dxa"/>
          <w:right w:w="28" w:type="dxa"/>
        </w:tblCellMar>
      </w:tblPr>
      <w:tblGrid>
        <w:gridCol w:w="1456"/>
        <w:gridCol w:w="1278"/>
        <w:gridCol w:w="1286"/>
        <w:gridCol w:w="211"/>
        <w:gridCol w:w="691"/>
        <w:gridCol w:w="109"/>
        <w:gridCol w:w="109"/>
        <w:gridCol w:w="109"/>
        <w:gridCol w:w="109"/>
        <w:gridCol w:w="211"/>
        <w:gridCol w:w="616"/>
        <w:gridCol w:w="109"/>
        <w:gridCol w:w="109"/>
        <w:gridCol w:w="109"/>
        <w:gridCol w:w="109"/>
        <w:gridCol w:w="211"/>
        <w:gridCol w:w="796"/>
        <w:gridCol w:w="109"/>
        <w:gridCol w:w="109"/>
        <w:gridCol w:w="109"/>
        <w:gridCol w:w="109"/>
        <w:gridCol w:w="211"/>
        <w:gridCol w:w="691"/>
        <w:gridCol w:w="109"/>
        <w:gridCol w:w="109"/>
        <w:gridCol w:w="154"/>
      </w:tblGrid>
      <w:tr>
        <w:trPr/>
        <w:tc>
          <w:tcPr>
            <w:tcW w:w="145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601" w:type="dxa"/>
            <w:gridSpan w:val="8"/>
            <w:tcBorders/>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July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loss attributable to Limoneira Company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net of patronage dividends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Impairment of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Loss and expected loss on disposal of assets,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Foreign currency (gains) losses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Three Months Ended July 31, 2026 Compared to the Three Months Ended July 31, 2025</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Total net revenues were $43.8 million for the three months ended July 31, 2026, compared to $47.5 million for the same period of fiscal year 2025. The 8% decrease of $3.7 million was primarily due to decreased agribusiness revenues from oranges and specialty citrus and wine grapes as detailed below ($ in thousands):</w:t>
      </w:r>
    </w:p>
    <w:tbl>
      <w:tblPr>
        <w:tblW w:w="7408" w:type="dxa"/>
        <w:jc w:val="left"/>
        <w:tblInd w:w="0" w:type="dxa"/>
        <w:tblLayout w:type="fixed"/>
        <w:tblCellMar>
          <w:top w:w="28" w:type="dxa"/>
          <w:left w:w="28" w:type="dxa"/>
          <w:bottom w:w="28" w:type="dxa"/>
          <w:right w:w="28" w:type="dxa"/>
        </w:tblCellMar>
      </w:tblPr>
      <w:tblGrid>
        <w:gridCol w:w="985"/>
        <w:gridCol w:w="868"/>
        <w:gridCol w:w="877"/>
        <w:gridCol w:w="227"/>
        <w:gridCol w:w="776"/>
        <w:gridCol w:w="117"/>
        <w:gridCol w:w="117"/>
        <w:gridCol w:w="117"/>
        <w:gridCol w:w="117"/>
        <w:gridCol w:w="227"/>
        <w:gridCol w:w="776"/>
        <w:gridCol w:w="117"/>
        <w:gridCol w:w="109"/>
        <w:gridCol w:w="109"/>
        <w:gridCol w:w="109"/>
        <w:gridCol w:w="211"/>
        <w:gridCol w:w="691"/>
        <w:gridCol w:w="109"/>
        <w:gridCol w:w="219"/>
        <w:gridCol w:w="219"/>
        <w:gridCol w:w="311"/>
      </w:tblGrid>
      <w:tr>
        <w:trPr/>
        <w:tc>
          <w:tcPr>
            <w:tcW w:w="98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558" w:type="dxa"/>
            <w:gridSpan w:val="15"/>
            <w:tcBorders/>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Lemons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Avocados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Oranges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citrus and wine grapes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Farm management</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Agribusiness revenues</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Lemons: The decrease for the third quarter of fiscal year 2026, compared to the same period of fiscal year 2025, was primarily due to our transition to Sunkist, which resulted in decreased brokered lemons and other lemon sales, partially offset by increased fresh lemon carton sales driven primarily by higher prices. Fresh lemon carton sales were $27.3 million and $23.8 million on 1,373,000 and 1,397,000 cartons of lemons sold at average per carton prices of $19.88 and $17.02, for the third quarter of fiscal years 2026 and 2025, respectively. Fresh lemon carton sales and per carton prices for the third quarter of fiscal year 2026 are net of the Sunkist marketing fee. Brokered lemons and other lemon sales were immaterial and $3.8 million for the third quarter of fiscal years 2026 and 2025, respectively. Lemon revenue included pack handling revenue of $6.0 million and $6.1 million for the third quarter of fiscal years 2026 and 2025, respectively, and lemon by-product sales of $0.5 million for the third quarters of fiscal years 2026 and 2025.</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Avocados: The decrease for the third quarter of fiscal year 2026, compared to the same period of fiscal year 2025, was primarily due to lower prices, partially offset by increased volume of avocados sold. The California avocado crop typically experiences alternating years of high and low production due to plant physiology. We sold 7,013,000 and 5,654,000 pounds of avocados at average per pound prices of $1.15 and $1.50, for the third quarter of fiscal years 2026 and 2025, respectively.</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Oranges: The decrease for the third quarter of fiscal year 2026, compared to the same period of fiscal year 2025, was primarily related to the transition of our citrus brokerage operations to Sunkist.</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 xml:space="preserve">Specialty citrus and wine grapes: The decrease for the third quarter of fiscal year 2026, compared to the same period of fiscal year 2025, was primarily due to decreased specialty citrus sales related to the transition of our citrus brokerage operations to Sunkist. </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 xml:space="preserve">Other: Other revenue, comprised primarily of fallowing and shipping, decreased for the third quarter of fiscal year 2026, compared to the same period of fiscal year 2025, primarily due to decreased shipping revenue. The Company no longer provides shipping services under the Sunkist Agreement.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Other operations revenue was $1.6 million for the third quarter of fiscal year 2026, compared to $1.5 million for the same period of fiscal year 2025. </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Costs and Expenses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Total costs and expenses were $46.8 million for the three months ended July 31, 2026, compared to $48.1 million for the same period of fiscal year 2025. The 3% decrease of $1.3 million was primarily due to decreases in agribusiness costs and expenses and selling, general and administrative expenses, partially offset by impairment of the Windfall Farms property assets and loss on disposal of assets in the third quarter of fiscal year 2026. Agribusiness costs and expenses are detailed below ($ in thousands):</w:t>
      </w:r>
    </w:p>
    <w:tbl>
      <w:tblPr>
        <w:tblW w:w="7829" w:type="dxa"/>
        <w:jc w:val="left"/>
        <w:tblInd w:w="0" w:type="dxa"/>
        <w:tblLayout w:type="fixed"/>
        <w:tblCellMar>
          <w:top w:w="28" w:type="dxa"/>
          <w:left w:w="28" w:type="dxa"/>
          <w:bottom w:w="28" w:type="dxa"/>
          <w:right w:w="28" w:type="dxa"/>
        </w:tblCellMar>
      </w:tblPr>
      <w:tblGrid>
        <w:gridCol w:w="1142"/>
        <w:gridCol w:w="999"/>
        <w:gridCol w:w="1009"/>
        <w:gridCol w:w="227"/>
        <w:gridCol w:w="776"/>
        <w:gridCol w:w="117"/>
        <w:gridCol w:w="117"/>
        <w:gridCol w:w="117"/>
        <w:gridCol w:w="117"/>
        <w:gridCol w:w="227"/>
        <w:gridCol w:w="776"/>
        <w:gridCol w:w="117"/>
        <w:gridCol w:w="109"/>
        <w:gridCol w:w="109"/>
        <w:gridCol w:w="109"/>
        <w:gridCol w:w="211"/>
        <w:gridCol w:w="691"/>
        <w:gridCol w:w="109"/>
        <w:gridCol w:w="219"/>
        <w:gridCol w:w="219"/>
        <w:gridCol w:w="312"/>
      </w:tblGrid>
      <w:tr>
        <w:trPr/>
        <w:tc>
          <w:tcPr>
            <w:tcW w:w="11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Packing costs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Harvest costs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Growing costs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grower and supplier costs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Agribusiness costs and expenses</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bl>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Packing costs: Packing costs consist primarily of the costs to pack lemons for sale such as labor and benefits, cardboard cartons, fruit treatments, packing and shipping supplies, shipping, cold storage and facility operating costs. We packed and sold 1,373,000 and 1,397,000 cartons of lemons at average per carton costs of $9.79 and $9.11, for the third quarter of fiscal years 2026 and 2025, respectively. The increase in per carton packing costs was primarily due to increased costs related to shipping and cold storage of lemons.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Harvest costs: The decrease for the third quarter of fiscal year 2026, compared to the same period of fiscal year 2025, was primarily due to decreased volume of lemons harvested, partially offset by higher avocado volume.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Growing costs: Growing costs consist of orchard maintenance costs such as cultivation, fertilization and soil amendments, pest control, pruning and irrigation. The increase for the third quarter of fiscal year 2026, compared to the same period of fiscal year 2025, was primarily due to farming operational decisions made in response to weather, harvest timing and crop conditions.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 xml:space="preserve">Third-party grower and supplier costs: We sell fruit that we grow and fruit that we procure from other growers and suppliers. The cost of procuring fruit from other growers and suppliers is referred to as third-party grower and supplier costs. The decrease for the third quarter of fiscal year 2026, compared to the same period of fiscal year 2025, was primarily due to decreased costs for brokered fruit of $7.3 million, partially offset by increased costs for third-party grower fruit of $1.6 million. The increase in third-party grower fruit was primarily due to higher prices of third-party grower fruit sold. We incurred costs for third-party grower fruit of $13.1 million and $11.5 million, for the third quarter of fiscal years 2026 and 2025, respectively. Of the 1,373,000 and 1,397,000 cartons of lemons packed and sold, 1,002,000 (73%) and 1,012,000 (72%) were procured from third-party growers at average per carton prices of $13.03 and $11.35, for the third quarter of fiscal years 2026 and 2025, respectively.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Other costs: The decrease in the third quarter of fiscal year 2026, compared to the same period of fiscal year 2025, was due to decreased freight costs.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Depreciation and amortization: The decrease in the third quarter of fiscal year 2026, compared to the same period of fiscal year 2025, was due to asset disposals.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Other operations expenses were $1.0 million in the third quarter of fiscal year 2026, compared to $1.1 million in the same period of fiscal year 2025.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Impairment of assets was $4.1 million for the third quarter of fiscal year 2026, due to impairment of the Windfall Farms property assets.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Loss and expected loss on disposal of assets, net was $0.3 million for the third quarter of fiscal year 2026, compared to an immaterial loss for the same period of fiscal year 2025. The increase was due to the disposal of miscellaneous agricultural equipment.</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costs and expenses were $4.0 million for the third quarter of fiscal year 2026, compared to $5.0 million for the same period of fiscal year 2025. The 20% decrease of $1.0 million was primarily due to:</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 xml:space="preserve">$0.6 million net decrease in salaries, benefits, incentive compensation and other selling expenses, primarily related to transition of the Company’s sales and marketing function to Sunkist;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$0.6 million net decrease in other general and administrative expenses;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$0.2 million increase in allowance for foreign related-party receivables.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Other Expense</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Total other expense was $1.0 million for the third quarter of fiscal year 2026, compared to $0.1 million for the same period of fiscal year 2025. The increase in other expense of $0.9 million was primarily due to:</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$0.7 million increase in interest expense, net of patronage dividends;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$0.2 million decrease in equity in earnings of investments, net.</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recorded an estimated income tax benefit of $1.0 million and a provision of $0.2 million on pre-tax loss of $4.0 million and $0.7 million, for the third quarter of fiscal years 2026 and 2025, respectively. The tax benefit recorded for the third quarter of fiscal year 2026 differs from the U.S. federal statutory tax rate of 21.0% primarily due to foreign jurisdictions that are taxed at different rates, state taxes, tax impact of stock-based compensation, executive compensation, nondeductible tax items and valuation allowances on certain deferred tax assets of foreign subsidiaries. As of July 31, 2026, our projected annual effective blended tax rate for fiscal year 2026, excluding discrete items, is approximately 21.5%.</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Net (Income) Loss Attributable to Noncontrolling Interests, Net</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 net for the third quarter of fiscal year 2026 represents 10% of PDA’s net loss, 49% of Trapani Fresh’s net income and 45.1% of Del Mar’s net income. Net loss attributable to noncontrolling interests, net for the third quarter of fiscal year 2025 represents 10% of PDA’s net loss and 49% of Trapani Fresh’s net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Nine Months Ended July 31, 2026 Compared to the Nine Months Ended July 31, 2025</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Total net revenues were $85.9 million for the nine months ended July 31, 2026, compared to $116.9 million for the same period of fiscal year 2025. The 26% decrease of $31.0 million was primarily due to decreased agribusiness revenues from lemons, avocados, oranges, farm management and other as detailed below ($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437" w:type="dxa"/>
        <w:jc w:val="left"/>
        <w:tblInd w:w="0" w:type="dxa"/>
        <w:tblLayout w:type="fixed"/>
        <w:tblCellMar>
          <w:top w:w="28" w:type="dxa"/>
          <w:left w:w="28" w:type="dxa"/>
          <w:bottom w:w="28" w:type="dxa"/>
          <w:right w:w="28" w:type="dxa"/>
        </w:tblCellMar>
      </w:tblPr>
      <w:tblGrid>
        <w:gridCol w:w="985"/>
        <w:gridCol w:w="868"/>
        <w:gridCol w:w="877"/>
        <w:gridCol w:w="211"/>
        <w:gridCol w:w="721"/>
        <w:gridCol w:w="109"/>
        <w:gridCol w:w="109"/>
        <w:gridCol w:w="109"/>
        <w:gridCol w:w="109"/>
        <w:gridCol w:w="211"/>
        <w:gridCol w:w="826"/>
        <w:gridCol w:w="109"/>
        <w:gridCol w:w="109"/>
        <w:gridCol w:w="109"/>
        <w:gridCol w:w="109"/>
        <w:gridCol w:w="211"/>
        <w:gridCol w:w="796"/>
        <w:gridCol w:w="109"/>
        <w:gridCol w:w="219"/>
        <w:gridCol w:w="219"/>
        <w:gridCol w:w="312"/>
      </w:tblGrid>
      <w:tr>
        <w:trPr/>
        <w:tc>
          <w:tcPr>
            <w:tcW w:w="98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6" w:type="dxa"/>
            <w:gridSpan w:val="6"/>
            <w:tcBorders/>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Lemons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Avocados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Oranges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citrus and wine grapes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Farm management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Agribusiness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Lemons: The decrease for the first nine months of fiscal year 2026, compared to the same period of fiscal year 2025, was primarily due to our transition to Sunkist, which resulted in decreased volume of fresh lemon carton sales and brokered lemons and other lemon sales, partially offset by higher prices of fresh lemon carton sales. Fresh lemon carton sales were $56.3 million and $64.6 million on 3,082,000 and 3,901,000 cartons of lemons sold at average per carton prices of $18.25 and $16.57, for the first nine months of fiscal years 2026 and 2025, respectively. Fresh lemon carton sales and per carton prices for the first nine months of fiscal year 2026 are net of the Sunkist marketing fee. Brokered lemons and other lemon sales were $1.0 million and $8.5 million for the first nine months of fiscal years 2026 and 2025, respectively, primarily due to the sale of our Chilean farms and the transition of our brokerage operations to Sunkist. Lemon revenue included pack handling revenue of $13.2 million and $15.3 million and lemon by-product sales of $0.8 million and $1.4 million for the first nine months of fiscal years 2026 and 2025, respectively.</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Avocados: The decrease for the first nine months of fiscal year 2026, compared to the same period of fiscal year 2025, was primarily due to lower prices, partially offset by increased volume of avocados sold. The California avocado crop typically experiences alternating years of high and low production due to plant physiology. We sold 7,298,000 and 6,959,000 pounds of avocados at average per pound prices of $1.14 and $1.64, for the first nine months of fiscal years 2026 and 2025, respectively.</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Oranges: The decrease for the first nine months of fiscal year 2026, compared to the same period of fiscal year 2025, was related to the sale of our Chilean farms and the transition of our citrus brokerage operations to Sunkist.</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Specialty citrus and wine grapes: The decrease for the first nine months of fiscal year 2026, compared to the same period of fiscal year 2025, was primarily due to decreased specialty citrus sales related to the transition of our citrus brokerage operations to Sunkist, partially offset by increased wine grape sales.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Farm management: Farm management revenue for the first nine months of fiscal year 2025 was comprised primarily of farming, management and operations services provided to the Northern Properties prior to the termination of the agreement effective March 31, 2025. No farm management services were provided during the first nine months of fiscal year 2026.</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 xml:space="preserve">Other: Other revenue, comprised primarily of fallowing and shipping, decreased for the first nine months of fiscal year 2026, compared to the same period of fiscal year 2025, primarily due to decreased shipping revenue. The Company no longer provides shipping services under the Sunkist Agreement.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Other operations revenue for the first nine months of fiscal year 2026 was similar compared to the same period of fiscal year 2025 at $4.5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Costs and Expenses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Total costs and expenses were $121.1 million for the first nine months of fiscal year 2026, compared to $126.2 million for the same period of fiscal year 2025. The 4% decrease of $5.1 million was primarily due to a decrease in agribusiness costs and expenses and a decrease in selling, general and administrative expenses plus other operating income, partially offset by impairment of the Windfall Farms property assets and loss on disposal of the lemon orchards in Yuma, Arizona in the first nine months of fiscal year 2026, and by gains on sales of water rights in the first quarter of fiscal year 2025. Agribusiness costs and expenses are detailed below ($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752" w:type="dxa"/>
        <w:jc w:val="left"/>
        <w:tblInd w:w="0" w:type="dxa"/>
        <w:tblLayout w:type="fixed"/>
        <w:tblCellMar>
          <w:top w:w="28" w:type="dxa"/>
          <w:left w:w="28" w:type="dxa"/>
          <w:bottom w:w="28" w:type="dxa"/>
          <w:right w:w="28" w:type="dxa"/>
        </w:tblCellMar>
      </w:tblPr>
      <w:tblGrid>
        <w:gridCol w:w="1142"/>
        <w:gridCol w:w="999"/>
        <w:gridCol w:w="1009"/>
        <w:gridCol w:w="211"/>
        <w:gridCol w:w="721"/>
        <w:gridCol w:w="109"/>
        <w:gridCol w:w="109"/>
        <w:gridCol w:w="109"/>
        <w:gridCol w:w="109"/>
        <w:gridCol w:w="211"/>
        <w:gridCol w:w="826"/>
        <w:gridCol w:w="109"/>
        <w:gridCol w:w="109"/>
        <w:gridCol w:w="109"/>
        <w:gridCol w:w="109"/>
        <w:gridCol w:w="211"/>
        <w:gridCol w:w="796"/>
        <w:gridCol w:w="109"/>
        <w:gridCol w:w="189"/>
        <w:gridCol w:w="189"/>
        <w:gridCol w:w="267"/>
      </w:tblGrid>
      <w:tr>
        <w:trPr/>
        <w:tc>
          <w:tcPr>
            <w:tcW w:w="11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1" w:type="dxa"/>
            <w:gridSpan w:val="6"/>
            <w:tcBorders/>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Packing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Harvest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grower and supplier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Agribusiness costs and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 xml:space="preserve">Packing costs: Packing costs consist primarily of the costs to pack lemons for sale such as labor and benefits, cardboard cartons, fruit treatments, packing and shipping supplies, shipping, cold storage and facility operating costs. We packed and sold 3,082,000 and 3,901,000 cartons of lemons at average per carton costs of $10.44 and $9.09, for the first nine months of fiscal years 2026 and 2025, respectively. The increase in per carton packing costs was primarily due to decreased volume and increased costs related to shipping and cold storage of lemons.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Harvest costs: The decrease for the first nine months of fiscal year 2026, compared to the same period of fiscal year 2025, was primarily due to decreased volume of lemons harvested.</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Growing costs: Growing costs consist of orchard maintenance costs such as cultivation, fertilization and soil amendments, pest control, pruning and irrigation. The decrease for the first nine months of fiscal year 2026, compared to the same period of fiscal year 2025, was primarily due to the termination of the farm management agreement effective March 31, 2025 and farming operational decisions made in response to weather, harvest timing and crop conditions.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 xml:space="preserve">Third-party grower and supplier costs: We sell fruit that we grow and fruit that we procure from other growers and suppliers. The cost of procuring fruit from other growers and suppliers is referred to as third-party grower and supplier costs. The decrease in third-party grower fruit was primarily due to decreased volume of third-party grower fruit packed and sold, partially offset by higher prices of third-party grower fruit sold. Brokered fruit costs were $0.5 million and $12.2 million, respectively, and costs for third-party grower fruit were $29.5 million and $33.3 million for the first nine months of fiscal years 2026 and 2025, respectively. The decrease in third-party grower fruit was primarily due to decreased volume of third-party grower fruit packed and sold, partially offset by higher prices of third-party grower fruit sold. Of the 3,082,000 and 3,901,000 cartons of lemons packed and sold, 2,548,000 (83%) and 3,215,000 (82%) were procured from third-party growers at average per carton prices of $11.56 and $10.36, for the first nine months of fiscal years 2026 and 2025, respectively.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 xml:space="preserve">Other costs: The decrease for the first nine months of fiscal year 2026, compared to the same period of fiscal year 2025, was due to decreased freight costs. </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Depreciation and amortization: Depreciation and amortization was $5.4 million for the first nine months of fiscal year 2026, compared to $5.9 million in the same period of fiscal year 2025.</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Other operations expenses were $3.1 million for the first nine months of fiscal year 2026, compared to $3.3 million for the same period of fiscal year 2025.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Impairment of assets was $13.5 million for the first nine months of fiscal year 2026, due to impairment of the Windfall Farms property assets.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sales of water rights for the first nine months of fiscal year 2026. Gain on sales of water rights was $1.5 million for the first nine months of fiscal year 2025, due to three separate sale transactions of Santa Paula Basin water pumping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Loss and expected loss on disposal of assets, net was $8.2 million for the first nine months of fiscal year 2026, compared to an immaterial loss for the same period of fiscal year 2025. The increase was primarily due to our decision to remove all of our remaining lemon orchards in Yuma, Arizona. This decision aligns with the Company’s strategic plan to monetize Class 3 Colorado River water rights by conserving water via crop substitution to low water use crops.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Other operating income was $1.1 million for the first nine months of fiscal year 2026, related to proceeds from the settlement of insurance claims.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costs and expenses were $14.0 million for the first nine months of fiscal year 2026, compared to $17.2 million for the same period of fiscal year 2025. The 18% decrease of $3.2 million was primarily due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$3.5 million net decrease in salaries, benefits, incentive compensation and other selling expenses, primarily related to transition of the Company’s sales and marketing function to Sunkist;</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$1.6 million net decrease in other general and administrative expenses;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$1.9 million increase in allowance for foreign related-party receivables.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Other (Expense)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Total other expense was $8.4 million for the first nine months of fiscal year 2026, compared to immaterial total other income for the same period of fiscal year 2025. The increase in other expense of $8.4 million was primarily due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$6.0 million increase of other expense, primarily due to foreign exchange losses;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 xml:space="preserve">$1.5 million increase of interest expense, net of patronage dividends; and </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$1.0 million decrease of equity in earnings of investments, net, primarily due to LLCB’s losses in the first nine months of fiscal year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recorded an estimated income tax benefit of $9.0 million and $1.9 million on pre-tax loss of $43.6 million and $9.3 million, for the first nine months of fiscal years 2026 and 2025, respectively. The tax benefit recorded for the first nine months of fiscal year 2026 differs from the U.S. federal statutory tax rate of 21.0% primarily due to foreign jurisdictions that are taxed at different rates, state taxes, tax impact of stock-based compensation, executive compensation, nondeductible tax items and valuation allowances on certain deferred tax assets of foreign subsidiaries. As of July 31, 2026, our projected annual effective blended tax rate for fiscal year 2026, excluding discrete items, is approximately 21.5%.</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Net Loss Attributable to Noncontrolling Interests, Net</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 net for the first nine months of fiscal year 2026 represents 10% of PDA’s net income, 49% of Trapani Fresh’s net loss and 45.1% of Del Mar’s net loss. Net loss attributable to noncontrolling interests, net for the first nine months of fiscal year 2025 represents 10% of PDA’s net income and 49% of Trapani Fresh’s net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Segment Results of Operations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operate in four reportable operating segments: fresh lemons, lemon packing, avocados and other agribusiness.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During fiscal year 2025, the Company changed its presentation of fresh lemons and lemon packing revenue and costs to remove reference to intersegment revenue and costs and eliminations. Prior year information has been recast to conform to the current year presentation. The Company adopted ASU 2023-07 as of fiscal year 2025 and, as a result, expanded its segment information to include significant segment expenses and other segment items. See Note 17 - Segment Information for additional information regarding our operating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Three Months Ended July 31, 2026 Compared to the Three Months Ended July 31, 2025</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segment results of operations for the three months ended July 31, 2026 (in thousands):</w:t>
      </w:r>
    </w:p>
    <w:tbl>
      <w:tblPr>
        <w:tblW w:w="10205" w:type="dxa"/>
        <w:jc w:val="left"/>
        <w:tblInd w:w="0" w:type="dxa"/>
        <w:tblLayout w:type="fixed"/>
        <w:tblCellMar>
          <w:top w:w="28" w:type="dxa"/>
          <w:left w:w="28" w:type="dxa"/>
          <w:bottom w:w="28" w:type="dxa"/>
          <w:right w:w="28" w:type="dxa"/>
        </w:tblCellMar>
      </w:tblPr>
      <w:tblGrid>
        <w:gridCol w:w="1332"/>
        <w:gridCol w:w="1090"/>
        <w:gridCol w:w="1095"/>
        <w:gridCol w:w="196"/>
        <w:gridCol w:w="646"/>
        <w:gridCol w:w="109"/>
        <w:gridCol w:w="196"/>
        <w:gridCol w:w="646"/>
        <w:gridCol w:w="109"/>
        <w:gridCol w:w="196"/>
        <w:gridCol w:w="556"/>
        <w:gridCol w:w="109"/>
        <w:gridCol w:w="271"/>
        <w:gridCol w:w="583"/>
        <w:gridCol w:w="152"/>
        <w:gridCol w:w="207"/>
        <w:gridCol w:w="683"/>
        <w:gridCol w:w="116"/>
        <w:gridCol w:w="196"/>
        <w:gridCol w:w="610"/>
        <w:gridCol w:w="109"/>
        <w:gridCol w:w="196"/>
        <w:gridCol w:w="646"/>
        <w:gridCol w:w="156"/>
      </w:tblGrid>
      <w:tr>
        <w:trPr/>
        <w:tc>
          <w:tcPr>
            <w:tcW w:w="1332"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Fresh</w:t>
              <w:br/>
              <w:t>Lemons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Lemon</w:t>
              <w:br/>
              <w:t>Packing</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br/>
              <w:t>Agribusiness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Agribusiness</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and Other</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42,165 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Costs and expenses, excluding depreciation and amortization: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Labor and benefits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Packing supplies and fruit treatments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Harvest costs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Growing costs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Third party grower and supplier costs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segment items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Loss and expected loss on disposal of assets, net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51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Selling, general and administrative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costs and expenses, excluding depreciation and amortization </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44,821 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Operating (loss)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(2,960)</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segment results of operations for the three months ended July 31, 2025 (in thousands):</w:t>
      </w:r>
    </w:p>
    <w:tbl>
      <w:tblPr>
        <w:tblW w:w="10205" w:type="dxa"/>
        <w:jc w:val="left"/>
        <w:tblInd w:w="0" w:type="dxa"/>
        <w:tblLayout w:type="fixed"/>
        <w:tblCellMar>
          <w:top w:w="28" w:type="dxa"/>
          <w:left w:w="28" w:type="dxa"/>
          <w:bottom w:w="28" w:type="dxa"/>
          <w:right w:w="28" w:type="dxa"/>
        </w:tblCellMar>
      </w:tblPr>
      <w:tblGrid>
        <w:gridCol w:w="1331"/>
        <w:gridCol w:w="1091"/>
        <w:gridCol w:w="1096"/>
        <w:gridCol w:w="196"/>
        <w:gridCol w:w="646"/>
        <w:gridCol w:w="109"/>
        <w:gridCol w:w="196"/>
        <w:gridCol w:w="646"/>
        <w:gridCol w:w="109"/>
        <w:gridCol w:w="196"/>
        <w:gridCol w:w="556"/>
        <w:gridCol w:w="109"/>
        <w:gridCol w:w="229"/>
        <w:gridCol w:w="649"/>
        <w:gridCol w:w="128"/>
        <w:gridCol w:w="207"/>
        <w:gridCol w:w="683"/>
        <w:gridCol w:w="116"/>
        <w:gridCol w:w="196"/>
        <w:gridCol w:w="610"/>
        <w:gridCol w:w="109"/>
        <w:gridCol w:w="196"/>
        <w:gridCol w:w="646"/>
        <w:gridCol w:w="155"/>
      </w:tblGrid>
      <w:tr>
        <w:trPr/>
        <w:tc>
          <w:tcPr>
            <w:tcW w:w="133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Fresh</w:t>
              <w:br/>
              <w:t>Lemons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Lemon</w:t>
              <w:br/>
              <w:t>Packing</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br/>
              <w:t>Agribusiness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Agribusiness</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and Other</w:t>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45,942 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47,478 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Costs and expenses, excluding depreciation and amortization: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and benefits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Packing supplies and fruit treatments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Harvest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Growing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Third party grower and supplier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items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51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assets,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 costs and expenses, excluding depreciation and amortization</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39,808 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Operating (loss)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The following analysis should be read in conjunction with the previous section “Results of Operations.”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Fresh Lemons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Fresh lemons segment revenue is comprised of sales of fresh lemons, lemon by-products, brokered lemons and other lemon revenue. Our fresh lemons segment total net revenues were $17.9 million for the third quarter of fiscal year 2026, compared to $19.6 million for the same period of fiscal year 2025. The 9% decrease of $1.7 million was primarily due to:</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Brokered lemons and other lemon sales decrease of $3.8 million;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Lemon by-products sales net of pack charge decrease of $0.2 million; and</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Fresh carton sales net of pack charge increase of $2.3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Costs and expenses associated with our fresh lemons segment include growing costs, harvest costs and cost of lemons we procure from third-party growers and suppliers. Our fresh lemons segment costs and expenses were $16.5 million for the third quarter of fiscal year 2026, compared to $20.8 million for the same period of fiscal year 2025. The 21% decrease of $4.3 million was primarily due to:</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Third-party grower and supplier costs decrease of $3.6 million;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Harvest costs decrease of $0.6 million;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Growing costs decrease of $0.1 million.</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Lemon Packing</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Lemon packing segment revenue is comprised primarily of pack charge revenue and pack handling revenue. Our lemon packing segment total net revenues were $15.9 million for the third quarter of fiscal year 2026, compared to $14.6 million for the same period of fiscal year 2025. The 9% increase of $1.3 million was primarily due to an increase in pack handling revenue.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Costs and expenses associated with our lemon packing segment primarily consist of the costs to pack lemons for sale such as labor and benefits, cardboard cartons, fruit treatments, packing and shipping supplies, shipping, cold storage and facility operating costs. Our lemon packing costs and expenses were $13.4 million for the third quarter of fiscal year 2026, compared to $12.7 million for the same period of fiscal year 2025. The 6% increase of $0.7 million was primarily due to:</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Other segment items increase of $1.5 million, primarily due to shipping and cold storage;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Labor and benefits decrease of $0.8 million.</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Lemon packing segment operating income per carton sold was $1.79 for the third quarter of fiscal year 2026, compared to $1.31 for the same period of fiscal year 2025.</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Avocados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Our avocados segment had revenues of $8.0 million for the third quarter of fiscal year 2026, compared to $8.5 million for the same period of fiscal year 2025.</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Costs and expenses associated with our avocados segment include growing and harvest costs. Our avocados segment costs and expenses were $5.4 million for the third quarter of fiscal year 2026, compared to $3.7 million for the same period of fiscal year 2025. The 44% increase of $1.7 million was primarily due to:</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Growing costs increase of $1.4 million;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Harvest costs increase of $0.3 million.</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Other Agribusiness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Our other agribusiness segment total net revenues were $0.4 million for the third quarter of fiscal year 2026, compared to $3.3 million for the same period of fiscal year 2025. The 88% decrease of $2.9 million was primarily due to:</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 xml:space="preserve">Orange revenue decrease of $1.7 million;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Specialty citrus revenue decrease of $0.6 million;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Other revenue decrease of $0.5 million;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Farm management revenue decrease of $0.1 million.</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Costs and expenses associated with our other agribusiness segment include growing costs, harvest costs, brokered fruit costs and shipping costs. Our other agribusiness costs and expenses were $0.2 million for the third quarter of fiscal year 2026, compared to $2.5 million for the same period of fiscal year 2025. The decrease of $2.3 million was primarily due to:</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Brokered fruit costs decrease of $2.2 million;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Shipping costs decrease of $0.4 million;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Growing costs increase of $0.3 million.</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Total agribusiness depreciation and amortization expenses were $1.7 million for the third quarter of fiscal year 2026, compared to $2.2 million for the same period of fiscal year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Corporate and Other</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Our corporate and other operations revenues were $1.6 million for the third quarter of fiscal year 2026, compared to $1.5 million for the same period of fiscal year 2025.</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Costs and expenses in our corporate and other operations primarily include selling, general and administrative costs and expenses, and various gains and losses not allocated to the operating segments. Costs and expenses in our corporate and other operations were $9.3 million for the third quarter of fiscal year 2026, compared to $5.8 million for the same period of fiscal year 2025. Depreciation and amortization expenses in our corporate and other operations were $0.2 million for the third quarter of fiscal years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Nine Months Ended July 31, 2026 Compared to the Nine Months Ended July 31, 2025</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segment results of operations for the nine months ended July 31, 2026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258"/>
        <w:gridCol w:w="1012"/>
        <w:gridCol w:w="1016"/>
        <w:gridCol w:w="215"/>
        <w:gridCol w:w="710"/>
        <w:gridCol w:w="119"/>
        <w:gridCol w:w="196"/>
        <w:gridCol w:w="646"/>
        <w:gridCol w:w="109"/>
        <w:gridCol w:w="196"/>
        <w:gridCol w:w="556"/>
        <w:gridCol w:w="109"/>
        <w:gridCol w:w="229"/>
        <w:gridCol w:w="649"/>
        <w:gridCol w:w="128"/>
        <w:gridCol w:w="207"/>
        <w:gridCol w:w="683"/>
        <w:gridCol w:w="116"/>
        <w:gridCol w:w="196"/>
        <w:gridCol w:w="696"/>
        <w:gridCol w:w="109"/>
        <w:gridCol w:w="196"/>
        <w:gridCol w:w="696"/>
        <w:gridCol w:w="158"/>
      </w:tblGrid>
      <w:tr>
        <w:trPr/>
        <w:tc>
          <w:tcPr>
            <w:tcW w:w="125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Fresh Lemons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Lemon</w:t>
              <w:br/>
              <w:t>Packing</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br/>
              <w:t>Agribusiness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Agribusiness</w:t>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and Other</w:t>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from external customers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37,094 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81,451 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85,940 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Costs and expenses, excluding depreciation and amortization:</w:t>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and benefits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Packing supplies and fruit treatments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Harvest costs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Growing costs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Third party grower and supplier costs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29,868 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items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assets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and expected loss on disposal of assets, net</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income</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 costs and expenses, excluding depreciation and amortization</w:t>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38,943 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78,018 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115,025 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Operating (loss) income</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(1,849)</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(35,205)</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segment results of operations for the nine months ended July 31, 2025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211"/>
        <w:gridCol w:w="959"/>
        <w:gridCol w:w="963"/>
        <w:gridCol w:w="213"/>
        <w:gridCol w:w="704"/>
        <w:gridCol w:w="118"/>
        <w:gridCol w:w="196"/>
        <w:gridCol w:w="646"/>
        <w:gridCol w:w="109"/>
        <w:gridCol w:w="196"/>
        <w:gridCol w:w="646"/>
        <w:gridCol w:w="109"/>
        <w:gridCol w:w="207"/>
        <w:gridCol w:w="683"/>
        <w:gridCol w:w="116"/>
        <w:gridCol w:w="196"/>
        <w:gridCol w:w="736"/>
        <w:gridCol w:w="109"/>
        <w:gridCol w:w="196"/>
        <w:gridCol w:w="693"/>
        <w:gridCol w:w="109"/>
        <w:gridCol w:w="196"/>
        <w:gridCol w:w="736"/>
        <w:gridCol w:w="158"/>
      </w:tblGrid>
      <w:tr>
        <w:trPr/>
        <w:tc>
          <w:tcPr>
            <w:tcW w:w="121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Fresh Lemons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Lemon</w:t>
              <w:br/>
              <w:t>Packing</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br/>
              <w:t>Agribusiness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Agribusiness</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and Other</w:t>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from external customers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49,532 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116,902 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Costs and expenses, excluding depreciation and amortization:</w:t>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and benefits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Packing supplies and fruit treatments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Harvest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Growing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Third party grower and supplier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items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sales of water rights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assets,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 excluding depreciation and amortization:</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51,047 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119,616 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Operating (loss) income</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(9,321)</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The following analysis should be read in conjunction with the previous section “Results of Operations.”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Fresh Lemons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Fresh lemons segment revenue is comprised of sales of fresh lemons, lemon by-products, brokered lemons and other lemon revenue. Our fresh lemons segment total net revenues were $37.1 million for the first nine months of fiscal year 2026, compared to $49.5 million for the same period of fiscal year 2025. The 25% decrease of $12.4 million was primarily due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Brokered lemons and other lemon sales decrease of $7.5 million;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Fresh carton sales net of pack charge decrease of $4.0 million;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Lemon by-products sales net of pack charge decrease of $0.9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Costs and expenses associated with our fresh lemons segment include growing costs, harvest costs and cost of lemons we procure from third-party growers and suppliers. Our fresh lemons segment costs and expenses were $38.9 million for the first nine months of fiscal year 2026, compared to $51.0 million for the same period of fiscal year 2025. The 24% decrease of $12.1 million was primarily due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 xml:space="preserve">Third-party grower and supplier costs decrease of $9.5 million;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Harvest costs decrease of $1.5 million;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Growing costs decrease of $1.1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Lemon Packing</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Lemon packing segment revenue is comprised primarily of pack charge revenue and pack handling revenue. Our lemon packing segment total net revenues were $34.2 million for the first nine months of fiscal year 2026, compared to $40.2 million for the same period of fiscal year 2025. The 15% decrease of $6.0 million was primarily due to a decrease in cartons of lemons packed and sold.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Costs and expenses associated with our lemon packing segment primarily consist of the costs to pack lemons for sale such as labor and benefits, cardboard cartons, fruit treatments, packing and shipping supplies, shipping, cold storage and facility operating costs. Our lemon packing costs and expenses were $32.2 million for the first nine months of fiscal year 2026, compared to $35.4 million for the same period of fiscal year 2025. The 9% decrease of $3.2 million was primarily due to:</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Packing supplies and fruit treatments decrease of $1.5 million;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Labor and benefits decrease of $1.4 million;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Other segment items decrease of $0.3 million.</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Lemon packing segment operating income per carton sold was $0.65 for the first nine months of fiscal year 2026, compared to $1.23 per carton sold for the same period of fiscal year 2025.</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Avocados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Our avocados segment revenue was $8.3 million for the first nine months of fiscal year 2026, compared to $11.4 million for the same period of fiscal year 2025.</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Costs and expenses associated with our avocados segment include growing and harvest costs. Our avocados segment costs and expenses were $5.6 million for the first nine months of fiscal year 2026, compared to $5.4 million for the same period of fiscal year 2025. The 4% increase of $0.2 million was primarily due to an increase in growing costs of $0.2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Other Agribusiness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Our other agribusiness segment total net revenues were $1.9 million for the first nine months of fiscal year 2026, compared to $11.2 million for the same period of fiscal year 2025. The 83% decrease of $9.3 million was primarily due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Orange revenue decrease of $4.8 million;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Other revenue decrease of $1.8 million;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Farm management revenue decrease of $1.6 million;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Specialty citrus and wine grape revenues decrease of $1.1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Costs and expenses associated with our other agribusiness segment include growing costs, harvest costs, brokered fruit costs and shipping costs. Our other agribusiness costs and expenses were $1.3 million for the first nine months of fiscal year 2026, compared to $9.5 million for the same period of fiscal year 2025. The 86% decrease of $8.2 million was primarily due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Brokered fruit costs decrease of $6.0 million;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Shipping costs decrease of $1.6 million;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Growing costs decrease of $0.6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Total agribusiness depreciation and amortization expenses were $5.4 million for the first nine months of fiscal year 2026, compared to $5.9 million for the same period of fiscal year 2025.</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Corporate and Other</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Our corporate and other operations revenues for the first nine months of fiscal year 2026 were similar for the same period of fiscal year 2025 at $4.5 million.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Costs and expenses in our corporate and other operations primarily include selling, general and administrative costs and expenses, and various gains and losses not allocated to the operating segments. Costs and expenses in our corporate and other operations were $37.0 million for the first nine months of fiscal year 2026, compared to $18.2 million for the same period of fiscal year 2025. Depreciation and amortization expenses in our corporate and other operations were $0.7 million for the first nine months of fiscal years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Seasonal Operations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Historically, our agribusiness operations have been seasonal in nature, with quarterly revenues fluctuating depending on the timing and variety of crops being harvested. Cultural costs in our agribusiness tend to be higher for the first and second quarters and lower for the third and fourth quarters because of the timing of expensing cultural costs for the current year that were inventoried in the prior year. Our harvest costs generally increase for the second quarter and peak for the third quarter. In connection with the Sunkist Agreement, lemon revenues are expected to peak in the third and fourth quarters. Due to this seasonality, and to avoid the inference that interim results are indicative of the estimated results for a full fiscal year, we present supplemental information for 12-month periods ended at the interim date for the current and preceding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Results of Operations for the Trailing Twelve Months Ended July 31, 2026 and 2025</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unaudited results of operations (in thousands):</w:t>
      </w:r>
    </w:p>
    <w:tbl>
      <w:tblPr>
        <w:tblW w:w="9236" w:type="dxa"/>
        <w:jc w:val="left"/>
        <w:tblInd w:w="0" w:type="dxa"/>
        <w:tblLayout w:type="fixed"/>
        <w:tblCellMar>
          <w:top w:w="28" w:type="dxa"/>
          <w:left w:w="28" w:type="dxa"/>
          <w:bottom w:w="28" w:type="dxa"/>
          <w:right w:w="28" w:type="dxa"/>
        </w:tblCellMar>
      </w:tblPr>
      <w:tblGrid>
        <w:gridCol w:w="2069"/>
        <w:gridCol w:w="1829"/>
        <w:gridCol w:w="1832"/>
        <w:gridCol w:w="278"/>
        <w:gridCol w:w="1088"/>
        <w:gridCol w:w="143"/>
        <w:gridCol w:w="143"/>
        <w:gridCol w:w="143"/>
        <w:gridCol w:w="143"/>
        <w:gridCol w:w="278"/>
        <w:gridCol w:w="1088"/>
        <w:gridCol w:w="202"/>
      </w:tblGrid>
      <w:tr>
        <w:trPr/>
        <w:tc>
          <w:tcPr>
            <w:tcW w:w="2069"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Trailing Twelve Months Ended July 31,</w:t>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1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Agribusiness</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122,760 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154,854 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operations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128,761 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160,763 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Agribusiness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130,986 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147,073 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operations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assets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sales of water rights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expected loss (gain) on disposal of assets, net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remeasurement of previously held equity method investment</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175,050 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172,835 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(46,289)</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(12,072)</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patronage dividends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(losses) earnings of investments, net</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other (expense) income</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(9,030)</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Loss before income tax benefit</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(55,319)</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(10,874)</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loss</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(43,592)</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(9,272)</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 net</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loss attributable to Limoneira Company</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(42,532)</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(9,149)</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The following analysis should be read in conjunction with the previous section “Results of Operations.”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Total net revenues decreased $32.0 million, primarily due to decreased lemon, avocado and farm management revenue.</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Total costs and expenses increased $2.2 million, primarily due to increased impairment of assets and loss on disposal of assets, partially offset by decreased agribusiness costs and selling, general and administrative expenses and the gain on remeasurement of previously held equity method investment.</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Total other expense increased $10.2 million, primarily due to increased other expenses related to foreign exchange losses, decreased equity in earnings of investments related to LLCB and increased interest expense, net of patronage dividends.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Income tax benefit increased $10.1 million due to increased pre-tax loss of $44.4 million and the effects of estimated interim tax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Our primary sources of liquidity are cash and cash flows generated from our operations, use of our revolving credit facility and equipment loans, sales of assets and distributions from our equity investments. Our liquidity and capital position fluctuate during the year depending on seasonal production cycles, weather events and demand for our products. We generally grow crops during our first and fourth fiscal quarters and harvest them during our second and third fiscal quarters. In connection with the Sunkist Agreement, we expect lemon revenues to be higher during our third and fourth fiscal quarters. To meet working capital demand and investment requirements of our agribusiness and real estate development projects and to supplement operating cash flows, we utilize our revolving credit facility to fund agricultural inputs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Material contractual obligations arising in the normal course of business consist primarily of purchase obligations under the Sunkist Agreement, long-term variable rate debt and related interest payments and operating and finance leases. See Note 10 - Long-Term Debt and Note 11 - Leases for amounts outstanding as of July 31, 2026 related to debt and leases.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believe that the cash flows from operations and available borrowing capacity from our existing credit facilities will be sufficient to satisfy our capital expenditures, debt service, working capital needs and other contractual obligations for the next 12 months. We believe our revenue generating operations, sales of assets, distributions from equity investments and credit facilities will generate sufficient cash needed to operate beyond the next 12 months. In addition, we have the ability to control a portion of our investing and financing cash flows to the extent necessary based on our liquidity demands.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$15.9 million and $7.0 million for the nine months ended July 31, 2026 and 2025, respectively. The significant components of our cash flows used in operating activities were as follows: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Net loss was $34.6 million and $7.4 million for the nine months ended July 31, 2026 and 2025, respectively. The components of net loss for the nine months ended July 31, 2026, compared to net loss for the same period of fiscal year 2025, consists of an increase in operating loss of $25.9 million, an increase in total other expense of $8.4 million, and an increase in income tax benefit of $7.1 million.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Adjustments to reconcile net loss to net cash used in operating activities: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Adjustments were $26.0 million and $16.1 million for the nine months ended July 31, 2026 and 2025, respectively, primarily related to depreciation and amortization, impairment of assets, loss and expected loss on disposal of assets, net, accumulated other comprehensive loss reclassified to earnings, cash distributions from equity investments and deferred income taxes.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Changes in operating assets and liabilities used $7.3 million and $15.7 million of operating cash for the nine months ended July 31, 2026 and 2025, respectively, primarily related to accounts receivables and receivables/other from related parties, accounts payable and growers and suppliers payable, and accrued liabilities and payables to related parties.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$9.5 million and $9.9 million for the nine months ended July 31, 2026 and 2025, respectively.</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 xml:space="preserve">The $9.5 million of cash used in investing activities for the nine months ended July 31, 2026 was comprised primarily of capital expenditures of $12.2 million, mainly related to orchard development, and equity investment contributions and capitalized interest of $2.8 million, partially offset by net proceeds from sales of assets of $6.3 million. </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The $9.9 million of cash used in investing activities for the nine months ended July 31, 2025 was comprised primarily of capital expenditures of $9.6 million, mainly related to orchard and vineyard development, and equity investment contributions and capitalized interest of $2.3 million, partially offset by proceeds from sales of water rights of $1.7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$26.2 million and $15.9 million for the nine months ended July 31, 2026 and 2025, respectively.</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The $26.2 million of cash provided by financing activities for the nine months ended July 31, 2026 was comprised primarily of net borrowings of long-term debt of $29.0 million, partially offset by common and preferred dividends of $1.5 million.</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The $15.9 million of cash provided by financing activities for the nine months ended July 31, 2025 was comprised primarily of net borrowings of long-term debt of $22.8 million, partially offset by common and preferred dividends of $4.4 million and the exchange of common stock of $1.6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Transactions Affecting Liquidity and Capital Resources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Credit Facilities and Long-Term Debt</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finance our working capital and other liquidity requirements primarily through cash from operations, distributions from equity investments and from our Credit Facility with AgWest Farm Credit, (the "Lender"). In June 2025, we entered into a Master Loan Agreement (the “MLA”) together with a revolving credit facility supplement (the “Revolving Credit Supplement”) and a non-revolving credit facility supplement (the “Non-Revolving Credit Supplement” and, together with the Revolving Credit Supplement, the “Supplements”). The MLA governs the terms of the Supplements and extends the principal repayment to July 1, 2030. Additional information regarding these loans can be found in Note 10 - Long-Term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Supplements provide aggregate borrowing capacity of $115.0 million, comprised of $114.0 million under the Revolving Credit Supplement and $1.0 million under the Non-Revolving Credit Supplement which can be used solely to support calls on Letters of Credit. There are no amounts outstanding on the Non-Revolving Credit Supplement. As of July 31, 2026, our outstanding borrowings under the Revolving Credit Supplement were $97.0 million and we had $17.0 million available to borrow.</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2026, we entered into a Promissory Note and Supplement to the MLA (the “Note”) to provide an additional revolving credit facility supplement with a borrowing capacity of $5.0 million and a maturity date of January 1, 2027.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MLA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 We were subject to an annual financial covenant that required us to maintain compliance with a specific debt service coverage ratio of 1.0:1.0 for the fiscal year ending October 31, 2026, and 1.25:1.0 for any fiscal year ending thereafter. In September 2025, the Lender modified the annual debt service coverage ratio covenant to defer measurement as of October 31, 2025. In December 2025, the Lender modified the annual debt service coverage ratio covenant to defer measurement as of October 31, 2026 and resume a debt service coverage ratio of 1.25:1.0 measured as of October 31, 2027 and for any fiscal year ending thereafter.</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were also subject to a quarterly financial covenant that required us to maintain compliance with a specific total net leverage ratio as of the end of any fiscal quarter beginning July 31, 2026. In December 2025, the Lender modified this quarterly financial covenant to defer measurement through July 31, 2027 and resume measurement as of October 31, 2027. Additionally, in December 2025, the Lender added a new quarterly financial covenant for the period January 31, 2026 through July 31, 2027, which requires us to maintain a specific debt to capitalization ratio. We were in compliance with this covenant as of July 31, 2026.</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March 2026, we entered into an equipment financing loan with the Lender in an initial amount of $2.3 million which matures on April 1, 2031. In May 2026, we entered into a second equipment financing loan with the Lender in an initial amount of $2.5 million which matures on May 1, 2031.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fiscal years 2026 and 2025, the Lender declared an annual cash patronage dividend, and we received $0.8 million and $0.6 million for the nine months ended July 31, 2026 and 2025, respectively.</w:t>
      </w:r>
    </w:p>
    <w:p>
      <w:pPr>
        <w:pStyle w:val="TextBody"/>
        <w:bidi w:val="0"/>
        <w:spacing w:lineRule="auto" w:line="288" w:before="0" w:after="160"/>
        <w:jc w:val="both"/>
        <w:rPr/>
      </w:pPr>
      <w:r>
        <w:rPr>
          <w:rFonts w:ascii="Times New Roman;serif" w:hAnsi="Times New Roman;serif"/>
          <w:b w:val="false"/>
          <w:i/>
          <w:color w:val="000000"/>
          <w:sz w:val="20"/>
        </w:rPr>
        <w:t>Real Estate Development Joint Ve</w:t>
      </w:r>
      <w:r>
        <w:rPr>
          <w:rFonts w:ascii="Times New Roman;serif" w:hAnsi="Times New Roman;serif"/>
          <w:b w:val="false"/>
          <w:i/>
          <w:color w:val="000000"/>
          <w:sz w:val="22"/>
        </w:rPr>
        <w:t>nture</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On April 9, 2025, we received a cash distribution of $10.0 million representing our share of a $20.0 million distribution from the 50/50 joint venture, LLCB, with Lewis. As of July 31, 2026, LLCB had $12.5 million of unaudited cash and cash equivalents on hand.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On March 23, 2026, the Board of Directors (the “Board”) paused regular cash dividends on our outstanding common stock, as well as dividends on our Series B Stock and Series B-2 Preferred Stock, to support strategic capital investments, including transitioning a portion of our agricultural lands to higher-value avocado production and developing new housing. The Board will monitor the incremental increases in cash flow to the Company attributable to these strategic capital investments and expects to resume dividends aligned with historical practice as soon as the Board deems it prudent to do so.</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holders of our Series B Stock and Series B-2 Preferred Stock are entitled to receive cumulative cash dividends. Such preferred dividends paid were $0.1 million and $0.4 million for the nine months ended July 31, 2026 and 2025, respectively. As of July 31, 2026, the total dividend arrearages on Series B Stock were $4.38 per share, representing an aggregate allocation of $58,000 and the total dividend arrearages on Series B-2 Preferred Stock were $20.00 per share, representing an aggregate allocation of $186,000.</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Cash dividends on common stock declared for the nine months ended July 31, 2026 and 2025 were $0.075 and $0.225 per common share, respectively, and such dividends paid were $1.4 million and $4.1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preparation of our consolidated financial statements in accordance with GAAP requires us to develop critical accounting policies and make certain estimates, assumptions and judgments that may affect the reported amounts of assets, liabilities, revenues and expenses. We base our estimates and judgments on historical experience, relevant available data and other information that we believe to be reasonable under the circumstances, and we continue to review and evaluate these estimates. Actual results may materially differ from these estimates under different assumptions or conditions as new or additional information becomes available in future periods. As of July 31, 2026, our critical accounting policies and estimates have not changed since the filing of our Annual Report on Form 10-K for the fiscal year ended October 31, 2025, as filed with the SEC on December 23, 2025. Please refer to that filing for a description of our critical accounting policies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See Note 2 - Summary of Significant Accounting Policies of the notes to consolidated financial statements included in this Quarterly Report for information concerning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Item 3. Quantitative and Qualitative Disclosures about Market Risk</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disclosures discussed in the section entitled “Quantitative and Qualitative Disclosures about Market Risk” in Part II, Item 7A of our Annual Report on Form 10-K for the fiscal year ended October 31, 2025, as filed with the SEC on December 23,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Item 4.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pPr>
      <w:r>
        <w:rPr>
          <w:rFonts w:ascii="Times New Roman;serif" w:hAnsi="Times New Roman;serif"/>
          <w:b/>
          <w:i/>
          <w:color w:val="000000"/>
          <w:sz w:val="20"/>
        </w:rPr>
        <w:t>Disclosure Controls and Procedures.</w:t>
      </w:r>
      <w:r>
        <w:rPr>
          <w:color w:val="000000"/>
        </w:rPr>
        <w:t xml:space="preserve"> </w:t>
      </w:r>
      <w:r>
        <w:rPr>
          <w:rFonts w:ascii="Times New Roman;serif" w:hAnsi="Times New Roman;serif"/>
          <w:b w:val="false"/>
          <w:color w:val="000000"/>
          <w:sz w:val="20"/>
        </w:rPr>
        <w:t>As of July 31, 2026,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promulgated under the Exchange Act. Based upon that evaluation, our Chief Executive Officer and Chief Financial Officer concluded that our disclosure controls and procedures were effective as of the end of the period covered by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pPr>
      <w:r>
        <w:rPr>
          <w:rFonts w:ascii="Times New Roman;serif" w:hAnsi="Times New Roman;serif"/>
          <w:b/>
          <w:i/>
          <w:color w:val="000000"/>
          <w:sz w:val="20"/>
        </w:rPr>
        <w:t>Changes in Internal Control over Financial Reporting.</w:t>
      </w:r>
      <w:r>
        <w:rPr>
          <w:color w:val="000000"/>
        </w:rPr>
        <w:t xml:space="preserve"> </w:t>
      </w:r>
      <w:r>
        <w:rPr>
          <w:rFonts w:ascii="Times New Roman;serif" w:hAnsi="Times New Roman;serif"/>
          <w:b w:val="false"/>
          <w:color w:val="000000"/>
          <w:sz w:val="20"/>
        </w:rPr>
        <w:t>There have been no significant changes in our internal control over financial reporting during the quarter ended July 31, 2026, or, to our knowledge, in other factors that have materially affected, or are reasonably likely to materially affect, our internal control over financial reporting.</w:t>
      </w:r>
    </w:p>
    <w:p>
      <w:pPr>
        <w:pStyle w:val="TextBody"/>
        <w:bidi w:val="0"/>
        <w:spacing w:lineRule="auto" w:line="288" w:before="0" w:after="160"/>
        <w:jc w:val="both"/>
        <w:rPr/>
      </w:pPr>
      <w:r>
        <w:rPr>
          <w:rFonts w:ascii="Times New Roman;serif" w:hAnsi="Times New Roman;serif"/>
          <w:b/>
          <w:i/>
          <w:color w:val="000000"/>
          <w:sz w:val="20"/>
        </w:rPr>
        <w:t>Limitations on the Effectiveness of Controls.</w:t>
      </w:r>
      <w:r>
        <w:rPr>
          <w:color w:val="000000"/>
        </w:rPr>
        <w:t xml:space="preserve"> </w:t>
      </w:r>
      <w:r>
        <w:rPr>
          <w:rFonts w:ascii="Times New Roman;serif" w:hAnsi="Times New Roman;serif"/>
          <w:b w:val="false"/>
          <w:color w:val="000000"/>
          <w:sz w:val="20"/>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color w:val="000000"/>
          <w:sz w:val="20"/>
          <w:u w:val="single"/>
        </w:rPr>
      </w:pPr>
      <w:r>
        <w:rPr>
          <w:rFonts w:ascii="Times New Roman;serif" w:hAnsi="Times New Roman;serif"/>
          <w:b/>
          <w:color w:val="000000"/>
          <w:sz w:val="20"/>
          <w:u w:val="single"/>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Item 1. Legal Proceedings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From time to time, we are a party to various lawsuits, arbitrations or mediations that arise in the ordinary course of business. The disclosure called for by Part II, Item 1 regarding our legal proceedings is incorporated by reference herein from Part I, Item 1 Note 15 - Commitments and Contingencies of the Notes to the Consolidated Financial Statements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Item 1A. Risk Factors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disclosures discussed in the section entitled “Risk Factors” in Part I, Item 1A of our Annual Report on Form 10-K for the fiscal year ended October 31, 2025, as filed with the SEC on December 23,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Item 2. Unregistered Sales of Equity Securities and Use of Proceeds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fiscal year 2026, we purchased shares of common stock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401"/>
        <w:gridCol w:w="353"/>
        <w:gridCol w:w="354"/>
        <w:gridCol w:w="511"/>
        <w:gridCol w:w="511"/>
        <w:gridCol w:w="512"/>
        <w:gridCol w:w="443"/>
        <w:gridCol w:w="854"/>
        <w:gridCol w:w="230"/>
        <w:gridCol w:w="863"/>
        <w:gridCol w:w="863"/>
        <w:gridCol w:w="866"/>
        <w:gridCol w:w="1005"/>
        <w:gridCol w:w="1005"/>
        <w:gridCol w:w="1434"/>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r>
      <w:tr>
        <w:trPr/>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15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Total Number of Shares Purchased </w:t>
            </w:r>
            <w:r>
              <w:rPr>
                <w:rFonts w:ascii="Times New Roman;serif" w:hAnsi="Times New Roman;serif"/>
                <w:b/>
                <w:color w:val="000000"/>
                <w:sz w:val="13"/>
              </w:rPr>
              <w:t>(1)</w:t>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Price Paid per Share</w:t>
            </w:r>
          </w:p>
        </w:tc>
        <w:tc>
          <w:tcPr>
            <w:tcW w:w="25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Total Number of Shares Purchased as Part of Publicly Announced Plans or Programs </w:t>
            </w:r>
            <w:r>
              <w:rPr>
                <w:rFonts w:ascii="Times New Roman;serif" w:hAnsi="Times New Roman;serif"/>
                <w:b/>
                <w:color w:val="000000"/>
                <w:sz w:val="13"/>
              </w:rPr>
              <w:t>(2)</w:t>
            </w:r>
          </w:p>
        </w:tc>
        <w:tc>
          <w:tcPr>
            <w:tcW w:w="344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Maximum Number (or Approximate Dollar Value) of Shares that May Yet Be Purchased Under the Plans or Programs </w:t>
            </w:r>
            <w:r>
              <w:rPr>
                <w:rFonts w:ascii="Times New Roman;serif" w:hAnsi="Times New Roman;serif"/>
                <w:b/>
                <w:color w:val="000000"/>
                <w:sz w:val="13"/>
              </w:rPr>
              <w:t>(2)</w:t>
            </w:r>
          </w:p>
        </w:tc>
      </w:tr>
      <w:tr>
        <w:trPr/>
        <w:tc>
          <w:tcPr>
            <w:tcW w:w="11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2026 - July 31, 2026</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2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1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Shares were acquired from employees in accordance with our stock-based compensation plan as a result of share withholdings to pay income tax related to the vesting and distribution of restricted stock awards.</w:t>
      </w:r>
    </w:p>
    <w:p>
      <w:pPr>
        <w:pStyle w:val="TextBody"/>
        <w:bidi w:val="0"/>
        <w:spacing w:lineRule="auto" w:line="288" w:before="0" w:after="16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 March 2025, our Company's Board of Directors approved a share repurchase program authorizing us to repurchase up to $30.0 million of our outstanding shares of common stock. The share repurchase program may be modified, suspended or discontinued at any time and does not commit the Company to repurchase shares of the common stock. No shares have been repurchased under this program as of 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Item 3. Defaults Upon Senior Securities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On March 23, 2026, the Board paused regular cash dividends on the Company’s outstanding common stock, as well as dividends on the Company’s $8.75 Voting Preferred Stock, $100.00 Par Value, Series B (“Series B Stock”) and 4% Voting Preferred Stock, $100.00 Par Value, Series B-2 (“Series B-2 Preferred Stock”) to support strategic capital investments, including transitioning a portion of our agricultural lands to higher-value avocado production and developing new housing. The Board will monitor the incremental increases in cash flow to the Company attributable to these strategic capital investments and expects to resume dividends aligned with historical practice as soon as the Board deems it prudent to do so.</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As of the date of this filing, (i) 13,311 shares of Series B Stock and 9,300 shares of Series B-2 Preferred Stock were issued and outstanding; (ii) the dividend arrearages on Series B Stock were $4.38 per share, representing an aggregate allocation of $58,000; and (iii) the dividend arrearages on Series B-2 Preferred Stock were $20.00 per share, representing an aggregate allocation of $186,000.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Item 4. Mine Safety Disclosures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Item 5. Other Information</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3075"/>
        <w:gridCol w:w="2958"/>
        <w:gridCol w:w="2987"/>
        <w:gridCol w:w="109"/>
        <w:gridCol w:w="109"/>
        <w:gridCol w:w="15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Exhibit</w:t>
              <w:br/>
              <w:t>Number</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Exhibit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Restated Certificate of Incorporation of Limoneira Company, dated July 5, 1990 (Incorporated by reference to Exhibit 3.1 to the Company’s Registration Statement on Form 10, and amendments thereto, declared effective April 13, 2010 (File No. 000-53885))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Certificate of Amendment of Certificate of Incorporation of Limoneira Company, dated April 22, 2003 (Incorporated by reference to Exhibit 3.7 to the Company’s Registration Statement on Form 10, and amendments thereto, declared effective April 13, 2010 (File No. 000-53885))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Certificate of Amendment of Certificate of Incorporation of Limoneira Company, dated March 24, 2010 (Incorporated by reference to Exhibit 3.9 to the Company’s Registration Statement on Form 10, and amendments thereto, declared effective April 13, 2010 (File No. 000-53885))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Certificate of Amendment of Certificate of Incorporation of Limoneira Company, dated March 29, 2017 (Incorporated by reference to Exhibit 3.1 to the Company’s Current Report on Form 8-K, filed March 31, 2017 (File No. 001-34755))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Certificate of Amendment of Certificate of Incorporation of Limoneira Company, dated March 26, 2024 (Incorporated by reference to Exhibit 3.1 to the Company’s Current Report on Form 8-K, filed March 28, 2024 (File No. 001-34755))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80"/>
                  <w:sz w:val="20"/>
                  <w:u w:val="single"/>
                </w:rPr>
                <w:t>Amended and Restated Bylaws of Limoneira Company, dated December 15, 2023 (Incorporated by reference to Exhibit 3.1 to the Company</w:t>
              </w:r>
            </w:hyperlink>
            <w:hyperlink r:id="rId8">
              <w:r>
                <w:rPr>
                  <w:rStyle w:val="InternetLink"/>
                  <w:rFonts w:ascii="Times New Roman;serif" w:hAnsi="Times New Roman;serif"/>
                  <w:b w:val="false"/>
                  <w:color w:val="000080"/>
                  <w:sz w:val="20"/>
                  <w:u w:val="single"/>
                </w:rPr>
                <w:t>’</w:t>
              </w:r>
            </w:hyperlink>
            <w:hyperlink r:id="rId9">
              <w:r>
                <w:rPr>
                  <w:rStyle w:val="InternetLink"/>
                  <w:rFonts w:ascii="Times New Roman;serif" w:hAnsi="Times New Roman;serif"/>
                  <w:b w:val="false"/>
                  <w:color w:val="000080"/>
                  <w:sz w:val="20"/>
                  <w:u w:val="single"/>
                </w:rPr>
                <w:t>s Current Report on Form 8-K, filed December 18, 2023 (File No. 001-34755))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20"/>
                  <w:u w:val="single"/>
                </w:rPr>
                <w:t>Certificate of Designation, Preferences and Rights of Series A Junior Participating Preferred Stock, $.01 Par Value, of Limoneira Company, dated November 21, 2006 (Incorporated by reference to Exhibit 3.8 to the Company’s Registration Statement on Form 10, and amendments thereto, declared effective April 13, 2010 (File No. 000-53885))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erif" w:hAnsi="Times New Roman;serif"/>
                  <w:b w:val="false"/>
                  <w:color w:val="0000FF"/>
                  <w:sz w:val="20"/>
                  <w:u w:val="single"/>
                </w:rPr>
                <w:t>Certificate of Designation, Preferences and Rights of $8.75 Voting Preferred Stock, $100.00 Par Value, Series B of Limoneira Company, dated May 21, 1997 (Incorporated by reference to Exhibit 3.4 to the Company’s Registration Statement on Form 10, and amendments thereto, declared effective April 13, 2010 (File No. 000-53885))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erif" w:hAnsi="Times New Roman;serif"/>
                  <w:b w:val="false"/>
                  <w:color w:val="0000FF"/>
                  <w:sz w:val="20"/>
                  <w:u w:val="single"/>
                </w:rPr>
                <w:t>Amended Certificate of Designation, Preferences and Rights of $8.75 Voting Preferred Stock, $100.00 Par Value, Series B of Limoneira Company, dated May 21, 1997 (Incorporated by reference to Exhibit 3.5 to the Company’s Registration Statement on Form 10, and amendments thereto, declared effective April 13, 2010 (File No. 000-53885))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00FF"/>
                  <w:sz w:val="20"/>
                  <w:u w:val="single"/>
                </w:rPr>
                <w:t>Certificate of Designation, Preferences and Rights of 4% Voting Preferred Stock, $100.00 Par Value, Series B-2 of Limoneira Company, dated March 20, 2014 (Incorporated by reference to Exhibit 3.1 to the Company’s Current Report on Form 8-K, filed March 24, 2014 (File No. 001-34755))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erif" w:hAnsi="Times New Roman;serif"/>
                  <w:b w:val="false"/>
                  <w:color w:val="000080"/>
                  <w:sz w:val="20"/>
                  <w:u w:val="single"/>
                </w:rPr>
                <w:t>Description of Securities (Incorporated by reference to Exhibit 4.7 of the Company</w:t>
              </w:r>
            </w:hyperlink>
            <w:hyperlink r:id="rId15">
              <w:r>
                <w:rPr>
                  <w:rStyle w:val="InternetLink"/>
                  <w:rFonts w:ascii="Times New Roman;serif" w:hAnsi="Times New Roman;serif"/>
                  <w:b w:val="false"/>
                  <w:color w:val="000080"/>
                  <w:sz w:val="20"/>
                  <w:u w:val="single"/>
                </w:rPr>
                <w:t>’</w:t>
              </w:r>
            </w:hyperlink>
            <w:hyperlink r:id="rId16">
              <w:r>
                <w:rPr>
                  <w:rStyle w:val="InternetLink"/>
                  <w:rFonts w:ascii="Times New Roman;serif" w:hAnsi="Times New Roman;serif"/>
                  <w:b w:val="false"/>
                  <w:color w:val="000080"/>
                  <w:sz w:val="20"/>
                  <w:u w:val="single"/>
                </w:rPr>
                <w:t>s Annual Report on Form 10-K, filed on December 22, 2022 (file No. 001-34755))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0080"/>
                  <w:sz w:val="20"/>
                  <w:u w:val="single"/>
                </w:rPr>
                <w:t>Promissory Note and Supplement to Master Loan Agreement, effective as of May 5, 2026, by and between Limoneira Company and AgWest Farm Credit, PCA</w:t>
              </w:r>
            </w:hyperlink>
            <w:hyperlink r:id="rId18">
              <w:r>
                <w:rPr>
                  <w:rStyle w:val="InternetLink"/>
                  <w:rFonts w:ascii="Times New Roman;serif" w:hAnsi="Times New Roman;serif"/>
                  <w:b w:val="false"/>
                  <w:color w:val="000080"/>
                  <w:sz w:val="20"/>
                  <w:u w:val="single"/>
                </w:rPr>
                <w:t xml:space="preserve"> (</w:t>
              </w:r>
            </w:hyperlink>
            <w:hyperlink r:id="rId19">
              <w:r>
                <w:rPr>
                  <w:rStyle w:val="InternetLink"/>
                  <w:rFonts w:ascii="Times New Roman;serif" w:hAnsi="Times New Roman;serif"/>
                  <w:b w:val="false"/>
                  <w:color w:val="000080"/>
                  <w:sz w:val="20"/>
                  <w:u w:val="single"/>
                </w:rPr>
                <w:t>I</w:t>
              </w:r>
            </w:hyperlink>
            <w:hyperlink r:id="rId20">
              <w:r>
                <w:rPr>
                  <w:rStyle w:val="InternetLink"/>
                  <w:rFonts w:ascii="Times New Roman;serif" w:hAnsi="Times New Roman;serif"/>
                  <w:b w:val="false"/>
                  <w:color w:val="000080"/>
                  <w:sz w:val="20"/>
                  <w:u w:val="single"/>
                </w:rPr>
                <w:t>ncorporated</w:t>
              </w:r>
            </w:hyperlink>
            <w:hyperlink r:id="rId21">
              <w:r>
                <w:rPr>
                  <w:rStyle w:val="InternetLink"/>
                  <w:rFonts w:ascii="Times New Roman;serif" w:hAnsi="Times New Roman;serif"/>
                  <w:b w:val="false"/>
                  <w:color w:val="000080"/>
                  <w:sz w:val="20"/>
                  <w:u w:val="single"/>
                </w:rPr>
                <w:t xml:space="preserve"> by reference to Exhibit 10.9 to the Company</w:t>
              </w:r>
            </w:hyperlink>
            <w:hyperlink r:id="rId22">
              <w:r>
                <w:rPr>
                  <w:rStyle w:val="InternetLink"/>
                  <w:rFonts w:ascii="Times New Roman;serif" w:hAnsi="Times New Roman;serif"/>
                  <w:b w:val="false"/>
                  <w:color w:val="000080"/>
                  <w:sz w:val="20"/>
                  <w:u w:val="single"/>
                </w:rPr>
                <w:t>’</w:t>
              </w:r>
            </w:hyperlink>
            <w:hyperlink r:id="rId23">
              <w:r>
                <w:rPr>
                  <w:rStyle w:val="InternetLink"/>
                  <w:rFonts w:ascii="Times New Roman;serif" w:hAnsi="Times New Roman;serif"/>
                  <w:b w:val="false"/>
                  <w:color w:val="000080"/>
                  <w:sz w:val="20"/>
                  <w:u w:val="single"/>
                </w:rPr>
                <w:t xml:space="preserve">s </w:t>
              </w:r>
            </w:hyperlink>
            <w:hyperlink r:id="rId24">
              <w:r>
                <w:rPr>
                  <w:rStyle w:val="InternetLink"/>
                  <w:rFonts w:ascii="Times New Roman;serif" w:hAnsi="Times New Roman;serif"/>
                  <w:b w:val="false"/>
                  <w:color w:val="000080"/>
                  <w:sz w:val="20"/>
                  <w:u w:val="single"/>
                </w:rPr>
                <w:t xml:space="preserve">Quarterly </w:t>
              </w:r>
            </w:hyperlink>
            <w:hyperlink r:id="rId25">
              <w:r>
                <w:rPr>
                  <w:rStyle w:val="InternetLink"/>
                  <w:rFonts w:ascii="Times New Roman;serif" w:hAnsi="Times New Roman;serif"/>
                  <w:b w:val="false"/>
                  <w:color w:val="000080"/>
                  <w:sz w:val="20"/>
                  <w:u w:val="single"/>
                </w:rPr>
                <w:t>Report on Form 10-Q</w:t>
              </w:r>
            </w:hyperlink>
            <w:hyperlink r:id="rId26">
              <w:r>
                <w:rPr>
                  <w:rStyle w:val="InternetLink"/>
                  <w:rFonts w:ascii="Times New Roman;serif" w:hAnsi="Times New Roman;serif"/>
                  <w:b w:val="false"/>
                  <w:color w:val="000080"/>
                  <w:sz w:val="20"/>
                  <w:u w:val="single"/>
                </w:rPr>
                <w:t xml:space="preserve">, filed </w:t>
              </w:r>
            </w:hyperlink>
            <w:hyperlink r:id="rId27">
              <w:r>
                <w:rPr>
                  <w:rStyle w:val="InternetLink"/>
                  <w:rFonts w:ascii="Times New Roman;serif" w:hAnsi="Times New Roman;serif"/>
                  <w:b w:val="false"/>
                  <w:color w:val="000080"/>
                  <w:sz w:val="20"/>
                  <w:u w:val="single"/>
                </w:rPr>
                <w:t>June</w:t>
              </w:r>
            </w:hyperlink>
            <w:hyperlink r:id="rId28">
              <w:r>
                <w:rPr>
                  <w:rStyle w:val="InternetLink"/>
                  <w:rFonts w:ascii="Times New Roman;serif" w:hAnsi="Times New Roman;serif"/>
                  <w:b w:val="false"/>
                  <w:color w:val="000080"/>
                  <w:sz w:val="20"/>
                  <w:u w:val="single"/>
                </w:rPr>
                <w:t xml:space="preserve"> 9, 2026 (</w:t>
              </w:r>
            </w:hyperlink>
            <w:hyperlink r:id="rId29">
              <w:r>
                <w:rPr>
                  <w:rStyle w:val="InternetLink"/>
                  <w:rFonts w:ascii="Times New Roman;serif" w:hAnsi="Times New Roman;serif"/>
                  <w:b w:val="false"/>
                  <w:color w:val="000080"/>
                  <w:sz w:val="20"/>
                  <w:u w:val="single"/>
                </w:rPr>
                <w:t>f</w:t>
              </w:r>
            </w:hyperlink>
            <w:hyperlink r:id="rId30">
              <w:r>
                <w:rPr>
                  <w:rStyle w:val="InternetLink"/>
                  <w:rFonts w:ascii="Times New Roman;serif" w:hAnsi="Times New Roman;serif"/>
                  <w:b w:val="false"/>
                  <w:color w:val="000080"/>
                  <w:sz w:val="20"/>
                  <w:u w:val="single"/>
                </w:rPr>
                <w:t>ile No. 001-34755)</w:t>
              </w:r>
            </w:hyperlink>
            <w:hyperlink r:id="rId31">
              <w:r>
                <w:rPr>
                  <w:rStyle w:val="InternetLink"/>
                  <w:rFonts w:ascii="Times New Roman;serif" w:hAnsi="Times New Roman;serif"/>
                  <w:b w:val="false"/>
                  <w:color w:val="000080"/>
                  <w:sz w:val="20"/>
                  <w:u w:val="single"/>
                </w:rPr>
                <w:t>)</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mnr73126ex311.htm">
              <w:r>
                <w:rPr>
                  <w:rStyle w:val="InternetLink"/>
                  <w:rFonts w:ascii="Times New Roman;serif" w:hAnsi="Times New Roman;serif"/>
                  <w:b w:val="false"/>
                  <w:color w:val="0000FF"/>
                  <w:sz w:val="20"/>
                  <w:u w:val="single"/>
                </w:rPr>
                <w:t>Certification of the Principal Executive Officer pursuant to Exchange Act Rule 13a-14(a) and 15d-14(a)</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mnr73126ex312.htm">
              <w:r>
                <w:rPr>
                  <w:rStyle w:val="InternetLink"/>
                  <w:rFonts w:ascii="Times New Roman;serif" w:hAnsi="Times New Roman;serif"/>
                  <w:b w:val="false"/>
                  <w:color w:val="0000FF"/>
                  <w:sz w:val="20"/>
                  <w:u w:val="single"/>
                </w:rPr>
                <w:t>Certification of the Principal Financial Officer pursuant to Exchange Act Rule 13a-14(a) and 15d-14(a)</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mnr73126ex321.htm">
              <w:r>
                <w:rPr>
                  <w:rStyle w:val="InternetLink"/>
                  <w:rFonts w:ascii="Times New Roman;serif" w:hAnsi="Times New Roman;serif"/>
                  <w:b w:val="false"/>
                  <w:color w:val="0000FF"/>
                  <w:sz w:val="20"/>
                  <w:u w:val="single"/>
                </w:rPr>
                <w:t>Certification of the Principal Executive Officer pursuant to 18 U.S.C. Section 1350, as adopted pursuant to Section 906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mnr73126ex322.htm">
              <w:r>
                <w:rPr>
                  <w:rStyle w:val="InternetLink"/>
                  <w:rFonts w:ascii="Times New Roman;serif" w:hAnsi="Times New Roman;serif"/>
                  <w:b w:val="false"/>
                  <w:color w:val="0000FF"/>
                  <w:sz w:val="20"/>
                  <w:u w:val="single"/>
                </w:rPr>
                <w:t>Certification of the Principal Financial Officer pursuant to 18 U.S.C. Section 1350, as adopted pursuant to Section 906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4"/>
        <w:gridCol w:w="258"/>
        <w:gridCol w:w="259"/>
        <w:gridCol w:w="2998"/>
        <w:gridCol w:w="2998"/>
        <w:gridCol w:w="3024"/>
        <w:gridCol w:w="109"/>
        <w:gridCol w:w="109"/>
        <w:gridCol w:w="15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998" w:type="dxa"/>
            <w:tcBorders/>
            <w:vAlign w:val="center"/>
          </w:tcPr>
          <w:p>
            <w:pPr>
              <w:pStyle w:val="TableContents"/>
              <w:bidi w:val="0"/>
              <w:spacing w:before="0" w:after="283"/>
              <w:jc w:val="left"/>
              <w:rPr>
                <w:sz w:val="4"/>
                <w:szCs w:val="4"/>
              </w:rPr>
            </w:pPr>
            <w:r>
              <w:rPr>
                <w:sz w:val="4"/>
                <w:szCs w:val="4"/>
              </w:rPr>
            </w:r>
          </w:p>
        </w:tc>
        <w:tc>
          <w:tcPr>
            <w:tcW w:w="2998" w:type="dxa"/>
            <w:tcBorders/>
            <w:vAlign w:val="center"/>
          </w:tcPr>
          <w:p>
            <w:pPr>
              <w:pStyle w:val="TableContents"/>
              <w:bidi w:val="0"/>
              <w:spacing w:before="0" w:after="283"/>
              <w:jc w:val="left"/>
              <w:rPr>
                <w:sz w:val="4"/>
                <w:szCs w:val="4"/>
              </w:rPr>
            </w:pPr>
            <w:r>
              <w:rPr>
                <w:sz w:val="4"/>
                <w:szCs w:val="4"/>
              </w:rPr>
            </w:r>
          </w:p>
        </w:tc>
        <w:tc>
          <w:tcPr>
            <w:tcW w:w="3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Exhibit</w:t>
              <w:br/>
              <w:t>Number</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Exhibit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information from the Company’s Quarterly Report on Form 10-Q for the quarter ended July 31, 2026 formatted in Inline XBRL (Extensible Business Reporting Language) includes: (i) the Consolidated Balance Sheets (Unaudited), (ii) the Consolidated Statements of Operations (Unaudited), (iii) the Consolidated Statements of Comprehensive Loss (Unaudited), (iv) the Consolidated Statements of Stockholders’ Equity and Temporary Equity (Unaudited), (v) the Consolidated Statements of Cash Flows (Unaudited), and (vi) the Notes to Consolidated Financial Statements (Unaudited)</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cover page for the Company’s Quarterly Report on Form 10-Q for the quarter ended July 31, 2026 has been formatted in Inline XBRL</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Filed or furnished herewith. In accordance with Item 601(b)(32)(ii) of Regulation S-K and SEC Release Nos. 33-8238 and 34-47986, Final Rule: Management’s Report on Internal Control Over Financial Reporting and Certification of Disclosure in Exchange Act Periodic Reports, the certifications furnished in Exhibits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7082" w:type="dxa"/>
        <w:jc w:val="left"/>
        <w:tblInd w:w="0" w:type="dxa"/>
        <w:tblLayout w:type="fixed"/>
        <w:tblCellMar>
          <w:top w:w="28" w:type="dxa"/>
          <w:left w:w="28" w:type="dxa"/>
          <w:bottom w:w="28" w:type="dxa"/>
          <w:right w:w="28" w:type="dxa"/>
        </w:tblCellMar>
      </w:tblPr>
      <w:tblGrid>
        <w:gridCol w:w="591"/>
        <w:gridCol w:w="521"/>
        <w:gridCol w:w="522"/>
        <w:gridCol w:w="346"/>
        <w:gridCol w:w="346"/>
        <w:gridCol w:w="346"/>
        <w:gridCol w:w="1279"/>
        <w:gridCol w:w="1279"/>
        <w:gridCol w:w="1852"/>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LIMONEIRA COMPANY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September 9, 2026</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HAROLD S. EDWARDS</w:t>
            </w:r>
          </w:p>
          <w:p>
            <w:pPr>
              <w:pStyle w:val="TableContents"/>
              <w:bidi w:val="0"/>
              <w:spacing w:lineRule="auto" w:line="240" w:before="0" w:after="0"/>
              <w:jc w:val="left"/>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Harold S. Edwards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 President and 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September 9, 2026</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GREGORY C. HAMM</w:t>
            </w:r>
          </w:p>
          <w:p>
            <w:pPr>
              <w:pStyle w:val="TableContents"/>
              <w:bidi w:val="0"/>
              <w:spacing w:lineRule="auto" w:line="240" w:before="0" w:after="0"/>
              <w:jc w:val="left"/>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Gregory C. Hamm</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Vice President, Chief Financial Officer and Treasurer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the Principal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Exchange Act Rule 13a-14(a) and 15d-14(a)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 Harold S. Edwards, certify that: </w:t>
      </w:r>
    </w:p>
    <w:p>
      <w:pPr>
        <w:pStyle w:val="TextBody"/>
        <w:bidi w:val="0"/>
        <w:spacing w:before="0" w:after="0"/>
        <w:ind w:left="0" w:right="0" w:firstLine="495"/>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Limoneira Company (the “Registrant”);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both"/>
        <w:rPr>
          <w:color w:val="000000"/>
        </w:rPr>
      </w:pPr>
      <w:r>
        <w:rPr>
          <w:color w:val="000000"/>
        </w:rPr>
        <w:t> </w:t>
      </w:r>
    </w:p>
    <w:tbl>
      <w:tblPr>
        <w:tblW w:w="6100" w:type="dxa"/>
        <w:jc w:val="left"/>
        <w:tblInd w:w="0" w:type="dxa"/>
        <w:tblLayout w:type="fixed"/>
        <w:tblCellMar>
          <w:top w:w="28" w:type="dxa"/>
          <w:left w:w="28" w:type="dxa"/>
          <w:bottom w:w="28" w:type="dxa"/>
          <w:right w:w="28" w:type="dxa"/>
        </w:tblCellMar>
      </w:tblPr>
      <w:tblGrid>
        <w:gridCol w:w="591"/>
        <w:gridCol w:w="521"/>
        <w:gridCol w:w="522"/>
        <w:gridCol w:w="109"/>
        <w:gridCol w:w="109"/>
        <w:gridCol w:w="109"/>
        <w:gridCol w:w="1210"/>
        <w:gridCol w:w="1210"/>
        <w:gridCol w:w="1719"/>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September 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Harold S. Edwards</w:t>
            </w:r>
          </w:p>
          <w:p>
            <w:pPr>
              <w:pStyle w:val="TableContents"/>
              <w:bidi w:val="0"/>
              <w:spacing w:lineRule="auto" w:line="240" w:before="20" w:after="283"/>
              <w:jc w:val="both"/>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Harold S. Edwards,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Director, President and 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the Principal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Exchange Act Rule 13a-14(a) and 15d-14(a)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 Gregory C. Hamm, certify that: </w:t>
      </w:r>
    </w:p>
    <w:p>
      <w:pPr>
        <w:pStyle w:val="TextBody"/>
        <w:bidi w:val="0"/>
        <w:spacing w:before="0" w:after="0"/>
        <w:ind w:left="0" w:right="0" w:firstLine="495"/>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Limoneira Company (the “Registrant”);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both"/>
        <w:rPr>
          <w:color w:val="000000"/>
        </w:rPr>
      </w:pPr>
      <w:r>
        <w:rPr>
          <w:color w:val="000000"/>
        </w:rPr>
        <w:t> </w:t>
      </w:r>
    </w:p>
    <w:tbl>
      <w:tblPr>
        <w:tblW w:w="6640" w:type="dxa"/>
        <w:jc w:val="left"/>
        <w:tblInd w:w="0" w:type="dxa"/>
        <w:tblLayout w:type="fixed"/>
        <w:tblCellMar>
          <w:top w:w="28" w:type="dxa"/>
          <w:left w:w="28" w:type="dxa"/>
          <w:bottom w:w="28" w:type="dxa"/>
          <w:right w:w="28" w:type="dxa"/>
        </w:tblCellMar>
      </w:tblPr>
      <w:tblGrid>
        <w:gridCol w:w="591"/>
        <w:gridCol w:w="521"/>
        <w:gridCol w:w="522"/>
        <w:gridCol w:w="109"/>
        <w:gridCol w:w="109"/>
        <w:gridCol w:w="109"/>
        <w:gridCol w:w="1370"/>
        <w:gridCol w:w="1370"/>
        <w:gridCol w:w="1939"/>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September 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Gregory C. Hamm</w:t>
            </w:r>
          </w:p>
          <w:p>
            <w:pPr>
              <w:pStyle w:val="TableContents"/>
              <w:bidi w:val="0"/>
              <w:spacing w:lineRule="auto" w:line="240" w:before="20" w:after="283"/>
              <w:jc w:val="both"/>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Gregory C. Hamm,</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Vice President, Chief Financial Officer and Treasurer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the Principal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906 of the Sarbanes-Oxley Act of 2002 (18 U.S.C. 1350) </w:t>
      </w:r>
    </w:p>
    <w:p>
      <w:pPr>
        <w:pStyle w:val="TextBody"/>
        <w:bidi w:val="0"/>
        <w:spacing w:before="0" w:after="0"/>
        <w:jc w:val="center"/>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for the quarter ended July 31, 2026 (the “Report”) of Limoneira Company (the “Registrant”), as filed with the Securities and Exchange Commission on the date hereof, I, Harold S. Edwards, Director, President and Chief Executive Officer of the Registrant, hereby certify that: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    The Report fully complies with the requirements of Section 13(a) or 15(d) of the Securities Exchange Act of 1934, as amended; and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Registrant.</w:t>
      </w:r>
    </w:p>
    <w:tbl>
      <w:tblPr>
        <w:tblW w:w="6100" w:type="dxa"/>
        <w:jc w:val="left"/>
        <w:tblInd w:w="0" w:type="dxa"/>
        <w:tblLayout w:type="fixed"/>
        <w:tblCellMar>
          <w:top w:w="28" w:type="dxa"/>
          <w:left w:w="28" w:type="dxa"/>
          <w:bottom w:w="28" w:type="dxa"/>
          <w:right w:w="28" w:type="dxa"/>
        </w:tblCellMar>
      </w:tblPr>
      <w:tblGrid>
        <w:gridCol w:w="591"/>
        <w:gridCol w:w="521"/>
        <w:gridCol w:w="522"/>
        <w:gridCol w:w="109"/>
        <w:gridCol w:w="109"/>
        <w:gridCol w:w="109"/>
        <w:gridCol w:w="1210"/>
        <w:gridCol w:w="1210"/>
        <w:gridCol w:w="1719"/>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September 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Harold S. Edwards</w:t>
            </w:r>
          </w:p>
          <w:p>
            <w:pPr>
              <w:pStyle w:val="TableContents"/>
              <w:bidi w:val="0"/>
              <w:spacing w:lineRule="auto" w:line="240" w:before="20" w:after="283"/>
              <w:jc w:val="both"/>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Harold S. Edwards,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Director, President and 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the Principal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906 of the Sarbanes-Oxley Act of 2002 (18 U.S.C. 1350) </w:t>
      </w:r>
    </w:p>
    <w:p>
      <w:pPr>
        <w:pStyle w:val="TextBody"/>
        <w:bidi w:val="0"/>
        <w:spacing w:before="0" w:after="0"/>
        <w:jc w:val="center"/>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for the quarter ended July 31, 2026 (the “Report”) of Limoneira Company (the “Registrant”), as filed with the Securities and Exchange Commission on the date hereof, I, Gregory C. Hamm, Vice President, Chief Financial Officer and Treasurer of the Registrant, hereby certify that: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    The Report fully complies with the requirements of Section 13(a) or 15(d) of the Securities Exchange Act of 1934, as amended; and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Registrant.</w:t>
      </w:r>
    </w:p>
    <w:tbl>
      <w:tblPr>
        <w:tblW w:w="6640" w:type="dxa"/>
        <w:jc w:val="left"/>
        <w:tblInd w:w="0" w:type="dxa"/>
        <w:tblLayout w:type="fixed"/>
        <w:tblCellMar>
          <w:top w:w="28" w:type="dxa"/>
          <w:left w:w="28" w:type="dxa"/>
          <w:bottom w:w="28" w:type="dxa"/>
          <w:right w:w="28" w:type="dxa"/>
        </w:tblCellMar>
      </w:tblPr>
      <w:tblGrid>
        <w:gridCol w:w="591"/>
        <w:gridCol w:w="521"/>
        <w:gridCol w:w="522"/>
        <w:gridCol w:w="109"/>
        <w:gridCol w:w="109"/>
        <w:gridCol w:w="109"/>
        <w:gridCol w:w="1370"/>
        <w:gridCol w:w="1370"/>
        <w:gridCol w:w="1939"/>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Gregory C. Hamm</w:t>
            </w:r>
          </w:p>
          <w:p>
            <w:pPr>
              <w:pStyle w:val="TableContents"/>
              <w:bidi w:val="0"/>
              <w:spacing w:lineRule="auto" w:line="240" w:before="20" w:after="283"/>
              <w:jc w:val="center"/>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Gregory C. Hamm,</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Vice President, Chief Financial Officer and Treasurer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Financial and 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42423/000114420410007241/v173157_ex3-1.htm" TargetMode="External"/><Relationship Id="rId3" Type="http://schemas.openxmlformats.org/officeDocument/2006/relationships/hyperlink" Target="https://www.sec.gov/Archives/edgar/data/1342423/000114420410007241/v173157_ex3-7.htm" TargetMode="External"/><Relationship Id="rId4" Type="http://schemas.openxmlformats.org/officeDocument/2006/relationships/hyperlink" Target="https://www.sec.gov/Archives/edgar/data/1342423/000114420410017415/v178900_ex3-9.htm" TargetMode="External"/><Relationship Id="rId5" Type="http://schemas.openxmlformats.org/officeDocument/2006/relationships/hyperlink" Target="https://www.sec.gov/Archives/edgar/data/1342423/000114420417018212/v463210_ex3-1.htm" TargetMode="External"/><Relationship Id="rId6" Type="http://schemas.openxmlformats.org/officeDocument/2006/relationships/hyperlink" Target="https://www.sec.gov/Archives/edgar/data/1342423/000110465924040501/tm249848d1_ex3-1.htm" TargetMode="External"/><Relationship Id="rId7" Type="http://schemas.openxmlformats.org/officeDocument/2006/relationships/hyperlink" Target="https://www.sec.gov/Archives/edgar/data/1342423/000110465923126652/tm2333025d1_ex3-1.htm" TargetMode="External"/><Relationship Id="rId8" Type="http://schemas.openxmlformats.org/officeDocument/2006/relationships/hyperlink" Target="https://www.sec.gov/Archives/edgar/data/1342423/000114420410007241/v173157_ex3-8.htm" TargetMode="External"/><Relationship Id="rId9" Type="http://schemas.openxmlformats.org/officeDocument/2006/relationships/hyperlink" Target="https://www.sec.gov/Archives/edgar/data/1342423/000110465923126652/tm2333025d1_ex3-1.htm" TargetMode="External"/><Relationship Id="rId10" Type="http://schemas.openxmlformats.org/officeDocument/2006/relationships/hyperlink" Target="https://www.sec.gov/Archives/edgar/data/1342423/000114420410007241/v173157_ex3-8.htm" TargetMode="External"/><Relationship Id="rId11" Type="http://schemas.openxmlformats.org/officeDocument/2006/relationships/hyperlink" Target="https://www.sec.gov/Archives/edgar/data/1342423/000114420410007241/v173157_ex3-4.htm" TargetMode="External"/><Relationship Id="rId12" Type="http://schemas.openxmlformats.org/officeDocument/2006/relationships/hyperlink" Target="https://www.sec.gov/Archives/edgar/data/1342423/000114420410007241/v173157_ex3-5.htm" TargetMode="External"/><Relationship Id="rId13" Type="http://schemas.openxmlformats.org/officeDocument/2006/relationships/hyperlink" Target="https://www.sec.gov/Archives/edgar/data/1342423/000114420414017379/v372494_ex3-1.htm" TargetMode="External"/><Relationship Id="rId14" Type="http://schemas.openxmlformats.org/officeDocument/2006/relationships/hyperlink" Target="https://www.sec.gov/Archives/edgar/data/1342423/000134242322000038/lmnr-103122ex47.htm" TargetMode="External"/><Relationship Id="rId15" Type="http://schemas.openxmlformats.org/officeDocument/2006/relationships/hyperlink" Target="https://www.sec.gov/Archives/edgar/data/1342423/000114420410007241/v173157_ex3-8.htm" TargetMode="External"/><Relationship Id="rId16" Type="http://schemas.openxmlformats.org/officeDocument/2006/relationships/hyperlink" Target="https://www.sec.gov/Archives/edgar/data/1342423/000134242322000038/lmnr-103122ex47.htm" TargetMode="External"/><Relationship Id="rId17" Type="http://schemas.openxmlformats.org/officeDocument/2006/relationships/hyperlink" Target="https://www.sec.gov/Archives/edgar/data/1342423/000134242326000023/lmnr43026ex109.htm" TargetMode="External"/><Relationship Id="rId18" Type="http://schemas.openxmlformats.org/officeDocument/2006/relationships/hyperlink" Target="https://www.sec.gov/Archives/edgar/data/1342423/000134242326000023/lmnr43026ex109.htm" TargetMode="External"/><Relationship Id="rId19" Type="http://schemas.openxmlformats.org/officeDocument/2006/relationships/hyperlink" Target="https://www.sec.gov/Archives/edgar/data/1342423/000134242326000023/lmnr43026ex109.htm" TargetMode="External"/><Relationship Id="rId20" Type="http://schemas.openxmlformats.org/officeDocument/2006/relationships/hyperlink" Target="https://www.sec.gov/Archives/edgar/data/1342423/000134242326000023/lmnr43026ex109.htm" TargetMode="External"/><Relationship Id="rId21" Type="http://schemas.openxmlformats.org/officeDocument/2006/relationships/hyperlink" Target="https://www.sec.gov/Archives/edgar/data/1342423/000134242326000023/lmnr43026ex109.htm" TargetMode="External"/><Relationship Id="rId22" Type="http://schemas.openxmlformats.org/officeDocument/2006/relationships/hyperlink" Target="https://www.sec.gov/Archives/edgar/data/1342423/000134242326000023/lmnr43026ex109.htm" TargetMode="External"/><Relationship Id="rId23" Type="http://schemas.openxmlformats.org/officeDocument/2006/relationships/hyperlink" Target="https://www.sec.gov/Archives/edgar/data/1342423/000134242326000023/lmnr43026ex109.htm" TargetMode="External"/><Relationship Id="rId24" Type="http://schemas.openxmlformats.org/officeDocument/2006/relationships/hyperlink" Target="https://www.sec.gov/Archives/edgar/data/1342423/000134242326000023/lmnr43026ex109.htm" TargetMode="External"/><Relationship Id="rId25" Type="http://schemas.openxmlformats.org/officeDocument/2006/relationships/hyperlink" Target="https://www.sec.gov/Archives/edgar/data/1342423/000134242326000023/lmnr43026ex109.htm" TargetMode="External"/><Relationship Id="rId26" Type="http://schemas.openxmlformats.org/officeDocument/2006/relationships/hyperlink" Target="https://www.sec.gov/Archives/edgar/data/1342423/000134242326000023/lmnr43026ex109.htm" TargetMode="External"/><Relationship Id="rId27" Type="http://schemas.openxmlformats.org/officeDocument/2006/relationships/hyperlink" Target="https://www.sec.gov/Archives/edgar/data/1342423/000134242326000023/lmnr43026ex109.htm" TargetMode="External"/><Relationship Id="rId28" Type="http://schemas.openxmlformats.org/officeDocument/2006/relationships/hyperlink" Target="https://www.sec.gov/Archives/edgar/data/1342423/000134242326000023/lmnr43026ex109.htm" TargetMode="External"/><Relationship Id="rId29" Type="http://schemas.openxmlformats.org/officeDocument/2006/relationships/hyperlink" Target="https://www.sec.gov/Archives/edgar/data/1342423/000134242326000023/lmnr43026ex109.htm" TargetMode="External"/><Relationship Id="rId30" Type="http://schemas.openxmlformats.org/officeDocument/2006/relationships/hyperlink" Target="https://www.sec.gov/Archives/edgar/data/1342423/000134242326000023/lmnr43026ex109.htm" TargetMode="External"/><Relationship Id="rId31" Type="http://schemas.openxmlformats.org/officeDocument/2006/relationships/hyperlink" Target="https://www.sec.gov/Archives/edgar/data/1342423/000134242326000023/lmnr43026ex109.htm"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26750</Words>
  <Characters>145875</Characters>
  <CharactersWithSpaces>171116</CharactersWithSpaces>
  <Paragraphs>4492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