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9,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LIMONEIRA COMPANY</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995" w:right="339" w:bottom="1440" w:gutter="0" w:footer="0" w:header="0"/>
        </w:sectPr>
      </w:pPr>
    </w:p>
    <w:p>
      <w:pPr>
        <w:spacing w:after="0" w:line="33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001-34755</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77-0260692</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3" w:lineRule="exact"/>
        <w:rPr>
          <w:sz w:val="24"/>
          <w:szCs w:val="24"/>
          <w:color w:val="auto"/>
        </w:rPr>
      </w:pPr>
    </w:p>
    <w:p>
      <w:pPr>
        <w:sectPr>
          <w:pgSz w:w="11900" w:h="16838" w:orient="portrait"/>
          <w:cols w:equalWidth="0" w:num="3">
            <w:col w:w="3880" w:space="720"/>
            <w:col w:w="2840" w:space="720"/>
            <w:col w:w="3080"/>
          </w:cols>
          <w:pgMar w:left="320" w:top="995" w:right="33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3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1141 Cummings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Santa Paula, CA 93060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(805) 525-5541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240"/>
          </w:cols>
          <w:pgMar w:left="320" w:top="995" w:right="339" w:bottom="1440" w:gutter="0" w:footer="0" w:header="0"/>
          <w:type w:val="continuous"/>
        </w:sectPr>
      </w:pPr>
    </w:p>
    <w:p>
      <w:pPr>
        <w:spacing w:after="0" w:line="200" w:lineRule="exact"/>
        <w:rPr>
          <w:sz w:val="24"/>
          <w:szCs w:val="24"/>
          <w:color w:val="auto"/>
        </w:rPr>
      </w:pPr>
    </w:p>
    <w:p>
      <w:pPr>
        <w:spacing w:after="0" w:line="36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995" w:right="339" w:bottom="1440" w:gutter="0" w:footer="0" w:header="0"/>
          <w:type w:val="continuous"/>
        </w:sectPr>
      </w:pPr>
    </w:p>
    <w:p>
      <w:pPr>
        <w:spacing w:after="0" w:line="127"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16"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7"/>
          <w:szCs w:val="17"/>
          <w:color w:val="auto"/>
        </w:rPr>
        <w:t>Common Stock, par value $0.01 per share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Trading Symbol (s)</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LMNR</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Name of Each Exchange on Which Registered </w:t>
      </w:r>
      <w:r>
        <w:rPr>
          <w:rFonts w:ascii="Times New Roman" w:cs="Times New Roman" w:eastAsia="Times New Roman" w:hAnsi="Times New Roman"/>
          <w:sz w:val="18"/>
          <w:szCs w:val="18"/>
          <w:color w:val="auto"/>
        </w:rPr>
        <w:t>The NASDAQ Stock Market LLC (NASDAQ Global Select Market)</w:t>
      </w:r>
    </w:p>
    <w:p>
      <w:pPr>
        <w:spacing w:after="0" w:line="200" w:lineRule="exact"/>
        <w:rPr>
          <w:sz w:val="24"/>
          <w:szCs w:val="24"/>
          <w:color w:val="auto"/>
        </w:rPr>
      </w:pPr>
    </w:p>
    <w:p>
      <w:pPr>
        <w:sectPr>
          <w:pgSz w:w="11900" w:h="16838" w:orient="portrait"/>
          <w:cols w:equalWidth="0" w:num="3">
            <w:col w:w="4140" w:space="720"/>
            <w:col w:w="1460" w:space="500"/>
            <w:col w:w="4420"/>
          </w:cols>
          <w:pgMar w:left="320" w:top="995" w:right="339" w:bottom="1440" w:gutter="0" w:footer="0" w:header="0"/>
          <w:type w:val="continuous"/>
        </w:sectPr>
      </w:pPr>
    </w:p>
    <w:p>
      <w:pPr>
        <w:spacing w:after="0" w:line="103"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9, 2026, Limoneira Company (NASDAQ: LMNR) issued a press release announcing its financial results for the quarter ended April 30, 2026. A copy of the press release is furnished within this report as Exhibit 99.1.</w:t>
      </w:r>
    </w:p>
    <w:p>
      <w:pPr>
        <w:spacing w:after="0" w:line="18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7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Description</w:t>
            </w:r>
          </w:p>
        </w:tc>
        <w:tc>
          <w:tcPr>
            <w:tcW w:w="20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9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Limoneira Company Press Release dated June 9, 2026.</w:t>
            </w:r>
          </w:p>
        </w:tc>
      </w:tr>
      <w:tr>
        <w:trPr>
          <w:trHeight w:val="331"/>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4"/>
                <w:szCs w:val="24"/>
                <w:color w:val="auto"/>
              </w:rPr>
            </w:pPr>
          </w:p>
        </w:tc>
        <w:tc>
          <w:tcPr>
            <w:tcW w:w="9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478"/>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9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790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LIMONEIRA COMPANY</w:t>
            </w:r>
          </w:p>
        </w:tc>
      </w:tr>
      <w:tr>
        <w:trPr>
          <w:trHeight w:val="45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June 9, 2026</w:t>
            </w:r>
          </w:p>
        </w:tc>
        <w:tc>
          <w:tcPr>
            <w:tcW w:w="790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By:   /s/ Gregory C. Hamm</w:t>
            </w:r>
          </w:p>
        </w:tc>
      </w:tr>
      <w:tr>
        <w:trPr>
          <w:trHeight w:val="216"/>
        </w:trPr>
        <w:tc>
          <w:tcPr>
            <w:tcW w:w="33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Gregory C. Hamm</w:t>
            </w:r>
          </w:p>
        </w:tc>
      </w:tr>
      <w:tr>
        <w:trPr>
          <w:trHeight w:val="230"/>
        </w:trPr>
        <w:tc>
          <w:tcPr>
            <w:tcW w:w="33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Vice President, Chief Financial Officer and Treasurer</w:t>
            </w:r>
          </w:p>
        </w:tc>
      </w:tr>
      <w:tr>
        <w:trPr>
          <w:trHeight w:val="236"/>
        </w:trPr>
        <w:tc>
          <w:tcPr>
            <w:tcW w:w="33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ectPr>
          <w:pgSz w:w="11900" w:h="16838" w:orient="portrait"/>
          <w:cols w:equalWidth="0" w:num="1">
            <w:col w:w="11240"/>
          </w:cols>
          <w:pgMar w:left="320" w:top="88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217170</wp:posOffset>
            </wp:positionV>
            <wp:extent cx="2366010" cy="54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6601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Limoneira Company Announces Second Quarter Fiscal Year 2026 Financial Results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Reports Second Quarter Revenue of $23.9 Million, Exceeding Expectations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Full Year Fiscal 2026 Avocado Volume Guidance Increased to 5.5 Million to 6.5 Million Pounds from Previous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5 Million to 6 Million Range</w:t>
      </w:r>
    </w:p>
    <w:p>
      <w:pPr>
        <w:spacing w:after="0" w:line="223" w:lineRule="exact"/>
        <w:rPr>
          <w:sz w:val="20"/>
          <w:szCs w:val="20"/>
          <w:color w:val="auto"/>
        </w:rPr>
      </w:pPr>
    </w:p>
    <w:p>
      <w:pPr>
        <w:jc w:val="center"/>
        <w:ind w:left="340" w:right="160"/>
        <w:spacing w:after="0" w:line="287" w:lineRule="auto"/>
        <w:rPr>
          <w:sz w:val="20"/>
          <w:szCs w:val="20"/>
          <w:color w:val="auto"/>
        </w:rPr>
      </w:pPr>
      <w:r>
        <w:rPr>
          <w:rFonts w:ascii="Times New Roman" w:cs="Times New Roman" w:eastAsia="Times New Roman" w:hAnsi="Times New Roman"/>
          <w:sz w:val="20"/>
          <w:szCs w:val="20"/>
          <w:i w:val="1"/>
          <w:iCs w:val="1"/>
          <w:color w:val="auto"/>
        </w:rPr>
        <w:t>Agromin Joint Venture Agreement Executed, Creating Potential High-Return Platform Expected to Generate Substantial Shared Earnings While Optimizing Underutilized Land and Conserved Water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Expected Fiscal Year 2026 Monetization of Paso Robles Vineyard Asset Through $16 Million Partial Sale Agreement</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Water Monetization Strategy on Track for Fiscal Year 2026</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SANTA PAULA, Calif.-- (BUSINESS WIRE) – June 9, 2026 -- Limoneira Company (the “Company” or “Limoneira”) (Nasdaq: LMNR), a diversified lemon and avocado growing and lemon packing company with related agribusiness activities and real estate development operations, today reported financial results for the second quarter ended April 30, 2026.</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continues to execute on its value creation strategy of growing agriculture income and monetizing land and water assets.</w:t>
      </w:r>
    </w:p>
    <w:p>
      <w:pPr>
        <w:spacing w:after="0" w:line="27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0"/>
          <w:szCs w:val="20"/>
          <w:color w:val="auto"/>
        </w:rPr>
        <w:t>Agriculture initiatives include:</w:t>
      </w:r>
    </w:p>
    <w:p>
      <w:pPr>
        <w:spacing w:after="0" w:line="12" w:lineRule="exact"/>
        <w:rPr>
          <w:rFonts w:ascii="Arial" w:cs="Arial" w:eastAsia="Arial" w:hAnsi="Arial"/>
          <w:sz w:val="22"/>
          <w:szCs w:val="22"/>
          <w:color w:val="auto"/>
        </w:rPr>
      </w:pPr>
    </w:p>
    <w:p>
      <w:pPr>
        <w:ind w:left="1300" w:hanging="320"/>
        <w:spacing w:after="0" w:line="224" w:lineRule="auto"/>
        <w:tabs>
          <w:tab w:leader="none" w:pos="1300" w:val="left"/>
        </w:tabs>
        <w:numPr>
          <w:ilvl w:val="1"/>
          <w:numId w:val="2"/>
        </w:numPr>
        <w:rPr>
          <w:rFonts w:ascii="Arial" w:cs="Arial" w:eastAsia="Arial" w:hAnsi="Arial"/>
          <w:sz w:val="22"/>
          <w:szCs w:val="22"/>
          <w:color w:val="auto"/>
        </w:rPr>
      </w:pPr>
      <w:r>
        <w:rPr>
          <w:rFonts w:ascii="Times New Roman" w:cs="Times New Roman" w:eastAsia="Times New Roman" w:hAnsi="Times New Roman"/>
          <w:sz w:val="20"/>
          <w:szCs w:val="20"/>
          <w:color w:val="auto"/>
        </w:rPr>
        <w:t>Streamlining operations;</w:t>
      </w:r>
    </w:p>
    <w:p>
      <w:pPr>
        <w:spacing w:after="0" w:line="6" w:lineRule="exact"/>
        <w:rPr>
          <w:rFonts w:ascii="Arial" w:cs="Arial" w:eastAsia="Arial" w:hAnsi="Arial"/>
          <w:sz w:val="22"/>
          <w:szCs w:val="22"/>
          <w:color w:val="auto"/>
        </w:rPr>
      </w:pPr>
    </w:p>
    <w:p>
      <w:pPr>
        <w:ind w:left="1300" w:hanging="320"/>
        <w:spacing w:after="0" w:line="224" w:lineRule="auto"/>
        <w:tabs>
          <w:tab w:leader="none" w:pos="1300" w:val="left"/>
        </w:tabs>
        <w:numPr>
          <w:ilvl w:val="1"/>
          <w:numId w:val="2"/>
        </w:numPr>
        <w:rPr>
          <w:rFonts w:ascii="Arial" w:cs="Arial" w:eastAsia="Arial" w:hAnsi="Arial"/>
          <w:sz w:val="22"/>
          <w:szCs w:val="22"/>
          <w:color w:val="auto"/>
        </w:rPr>
      </w:pPr>
      <w:r>
        <w:rPr>
          <w:rFonts w:ascii="Times New Roman" w:cs="Times New Roman" w:eastAsia="Times New Roman" w:hAnsi="Times New Roman"/>
          <w:sz w:val="20"/>
          <w:szCs w:val="20"/>
          <w:color w:val="auto"/>
        </w:rPr>
        <w:t>Expanding avocado production;</w:t>
      </w:r>
    </w:p>
    <w:p>
      <w:pPr>
        <w:spacing w:after="0" w:line="8" w:lineRule="exact"/>
        <w:rPr>
          <w:rFonts w:ascii="Arial" w:cs="Arial" w:eastAsia="Arial" w:hAnsi="Arial"/>
          <w:sz w:val="22"/>
          <w:szCs w:val="22"/>
          <w:color w:val="auto"/>
        </w:rPr>
      </w:pPr>
    </w:p>
    <w:p>
      <w:pPr>
        <w:ind w:left="1300" w:hanging="320"/>
        <w:spacing w:after="0" w:line="235" w:lineRule="auto"/>
        <w:tabs>
          <w:tab w:leader="none" w:pos="1300" w:val="left"/>
        </w:tabs>
        <w:numPr>
          <w:ilvl w:val="1"/>
          <w:numId w:val="2"/>
        </w:numPr>
        <w:rPr>
          <w:rFonts w:ascii="Arial" w:cs="Arial" w:eastAsia="Arial" w:hAnsi="Arial"/>
          <w:sz w:val="22"/>
          <w:szCs w:val="22"/>
          <w:color w:val="auto"/>
        </w:rPr>
      </w:pPr>
      <w:r>
        <w:rPr>
          <w:rFonts w:ascii="Times New Roman" w:cs="Times New Roman" w:eastAsia="Times New Roman" w:hAnsi="Times New Roman"/>
          <w:sz w:val="20"/>
          <w:szCs w:val="20"/>
          <w:color w:val="auto"/>
        </w:rPr>
        <w:t>Optimizing lemon packing with recently announced Sunkist partnership; and</w:t>
      </w:r>
    </w:p>
    <w:p>
      <w:pPr>
        <w:spacing w:after="0" w:line="7" w:lineRule="exact"/>
        <w:rPr>
          <w:rFonts w:ascii="Arial" w:cs="Arial" w:eastAsia="Arial" w:hAnsi="Arial"/>
          <w:sz w:val="22"/>
          <w:szCs w:val="22"/>
          <w:color w:val="auto"/>
        </w:rPr>
      </w:pPr>
    </w:p>
    <w:p>
      <w:pPr>
        <w:ind w:left="1300" w:hanging="320"/>
        <w:spacing w:after="0" w:line="224" w:lineRule="auto"/>
        <w:tabs>
          <w:tab w:leader="none" w:pos="1300" w:val="left"/>
        </w:tabs>
        <w:numPr>
          <w:ilvl w:val="1"/>
          <w:numId w:val="2"/>
        </w:numPr>
        <w:rPr>
          <w:rFonts w:ascii="Arial" w:cs="Arial" w:eastAsia="Arial" w:hAnsi="Arial"/>
          <w:sz w:val="22"/>
          <w:szCs w:val="22"/>
          <w:color w:val="auto"/>
        </w:rPr>
      </w:pPr>
      <w:r>
        <w:rPr>
          <w:rFonts w:ascii="Times New Roman" w:cs="Times New Roman" w:eastAsia="Times New Roman" w:hAnsi="Times New Roman"/>
          <w:sz w:val="20"/>
          <w:szCs w:val="20"/>
          <w:color w:val="auto"/>
        </w:rPr>
        <w:t>Expanding organic recycling facility.</w:t>
      </w:r>
    </w:p>
    <w:p>
      <w:pPr>
        <w:spacing w:after="0" w:line="8" w:lineRule="exact"/>
        <w:rPr>
          <w:rFonts w:ascii="Arial" w:cs="Arial" w:eastAsia="Arial" w:hAnsi="Arial"/>
          <w:sz w:val="22"/>
          <w:szCs w:val="22"/>
          <w:color w:val="auto"/>
        </w:rPr>
      </w:pP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0"/>
          <w:szCs w:val="20"/>
          <w:color w:val="auto"/>
        </w:rPr>
        <w:t>Land and water assets initiatives include:</w:t>
      </w:r>
    </w:p>
    <w:p>
      <w:pPr>
        <w:ind w:left="1300" w:hanging="320"/>
        <w:spacing w:after="0" w:line="224" w:lineRule="auto"/>
        <w:tabs>
          <w:tab w:leader="none" w:pos="1300" w:val="left"/>
        </w:tabs>
        <w:numPr>
          <w:ilvl w:val="1"/>
          <w:numId w:val="2"/>
        </w:numPr>
        <w:rPr>
          <w:rFonts w:ascii="Arial" w:cs="Arial" w:eastAsia="Arial" w:hAnsi="Arial"/>
          <w:sz w:val="22"/>
          <w:szCs w:val="22"/>
          <w:color w:val="auto"/>
        </w:rPr>
      </w:pPr>
      <w:r>
        <w:rPr>
          <w:rFonts w:ascii="Times New Roman" w:cs="Times New Roman" w:eastAsia="Times New Roman" w:hAnsi="Times New Roman"/>
          <w:sz w:val="20"/>
          <w:szCs w:val="20"/>
          <w:color w:val="auto"/>
        </w:rPr>
        <w:t>Selling non-strategic land assets (remaining near-term pipeline); and</w:t>
      </w:r>
    </w:p>
    <w:p>
      <w:pPr>
        <w:spacing w:after="0" w:line="11" w:lineRule="exact"/>
        <w:rPr>
          <w:rFonts w:ascii="Arial" w:cs="Arial" w:eastAsia="Arial" w:hAnsi="Arial"/>
          <w:sz w:val="22"/>
          <w:szCs w:val="22"/>
          <w:color w:val="auto"/>
        </w:rPr>
      </w:pPr>
    </w:p>
    <w:p>
      <w:pPr>
        <w:ind w:left="1300" w:hanging="320"/>
        <w:spacing w:after="0"/>
        <w:tabs>
          <w:tab w:leader="none" w:pos="1300" w:val="left"/>
        </w:tabs>
        <w:numPr>
          <w:ilvl w:val="1"/>
          <w:numId w:val="2"/>
        </w:numPr>
        <w:rPr>
          <w:rFonts w:ascii="Arial" w:cs="Arial" w:eastAsia="Arial" w:hAnsi="Arial"/>
          <w:sz w:val="22"/>
          <w:szCs w:val="22"/>
          <w:color w:val="auto"/>
        </w:rPr>
      </w:pPr>
      <w:r>
        <w:rPr>
          <w:rFonts w:ascii="Times New Roman" w:cs="Times New Roman" w:eastAsia="Times New Roman" w:hAnsi="Times New Roman"/>
          <w:sz w:val="20"/>
          <w:szCs w:val="20"/>
          <w:color w:val="auto"/>
        </w:rPr>
        <w:t>Selling certain water rights (near and medium-term pipeline).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 Comments</w:t>
      </w:r>
    </w:p>
    <w:p>
      <w:pPr>
        <w:spacing w:after="0" w:line="2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Harold Edwards, President and Chief Executive Officer of the Company, stated, “Our second quarter results demonstrate our continued efforts to execute our strategic transformation to position Limoneira for long-term value creation. We exceeded expectations for revenue and adjusted EBITDA in the second quarter, reinforcing our confidence in the strategic decisions we are implementing. The fundamentals of our business are strengthening as we track toward our targeted $10 million in annual selling, general and administrative savings, excluding a second quarter allowance on foreign receivables, and benefiting from improved operational efficiency through our Sunkist partnership. Our avocado production capacity continues to expand with 800 non-bearing acres maturing over the next two to four years, and we’ve increased our full-year avocado volume guidance to 5.5 to 6.5 million pounds, reflecting the strength of our growing operations. The 400 acres of avocados we planted in 2023 and 2024 are expected to set a crop this year and be additive to volume in fiscal year 2027. Additionally, continued high levels of fresh lemon utilization are optimizing our product mix and revenue per acre.</w:t>
      </w:r>
    </w:p>
    <w:p>
      <w:pPr>
        <w:sectPr>
          <w:pgSz w:w="11900" w:h="16838" w:orient="portrait"/>
          <w:cols w:equalWidth="0" w:num="1">
            <w:col w:w="11240"/>
          </w:cols>
          <w:pgMar w:left="320" w:top="360" w:right="339" w:bottom="1440" w:gutter="0" w:footer="0" w:header="0"/>
        </w:sectPr>
      </w:pPr>
    </w:p>
    <w:bookmarkStart w:id="4" w:name="page5"/>
    <w:bookmarkEnd w:id="4"/>
    <w:p>
      <w:pPr>
        <w:jc w:val="both"/>
        <w:spacing w:after="0" w:line="253" w:lineRule="auto"/>
        <w:rPr>
          <w:sz w:val="20"/>
          <w:szCs w:val="20"/>
          <w:color w:val="auto"/>
        </w:rPr>
      </w:pPr>
      <w:r>
        <w:rPr>
          <w:rFonts w:ascii="Times New Roman" w:cs="Times New Roman" w:eastAsia="Times New Roman" w:hAnsi="Times New Roman"/>
          <w:sz w:val="20"/>
          <w:szCs w:val="20"/>
          <w:color w:val="auto"/>
        </w:rPr>
        <w:t>Beyond our core agricultural business, we continue to unlock value from our diversified asset base. This quarter, we completed two strategic initiatives: our Agromin joint venture, which we expect to create a new high-return platform generating substantial shared earnings while optimizing underutilized land and conserved water, and the partial sale of our Paso Robles vineyard for $16 million. We also made the decision to cease citrus farming operations on 600 acres of lemons in Arizona to focus on water monetization, which we anticipate will make this asset significantly more profitable. Our water monetization strategy is advancing on track, and we still expect a monetization event from our Colorado River water rights in fiscal year 2026.</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expect the second half of fiscal year 2026 to be our seasonally strongest period. Our third and fourth quarters should benefit from higher lemon volumes under the Sunkist agreement, increased avocado volumes as we strategically delayed harvest timing to capture expected better pricing, and continued operational efficiency. We expect to achieve positive adjusted EBITDA in the third and fourth quarters of fiscal year 2026. We are building a more focused, more efficient Limoneira, and we believe the full impact of that transformation will be increasingly visible in the quarters ahead,” concluded Mr. Edwards.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Fiscal Year 2026 Second Quarter Results</w:t>
      </w:r>
    </w:p>
    <w:p>
      <w:pPr>
        <w:spacing w:after="0" w:line="2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For the second quarter of fiscal year 2026, total net revenues were $23.9 million, compared to total net revenues of $35.1 million in the second quarter of the previous fiscal year. Agribusiness revenues were $22.5 million, compared to $33.6 million in the second quarter of last fiscal year. Other operations revenue was $1.4 million in the second quarter of fiscal year 2026, compared to $1.5 million in the second quarter of last fiscal year. The year-over-year decrease in total net revenues was driven by the Company's strategic transition to Sunkist for lemon sales and marketing. This partnership resulted in a significant shift in the quarterly sales cadence for lemons compared to historical patterns. Under the new Sunkist structure, the first and second quarters are expected to have lower lemon sales volumes, while the third and fourth quarters are expected to have higher lemon sales volumes. Additionally, the Company exited its brokerage business and Chilean farming operations in the first quarter of fiscal year 2026 and its farm management business during fiscal year 2025, which further contributed to the year-over-year revenue decrease.</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Agribusiness revenues in the second quarter of fiscal year 2026 include $17.1 million in fresh lemon carton sales, compared to $19.7 million of fresh lemon carton sales during the same period of fiscal year 2025. Approximately 1,028,000 cartons of fresh lemons were sold during the second quarter of fiscal year 2026 at a $16.63 average price per carton, compared to approximately 1,357,000 cartons sold at a $14.52 average price per carton during the second quarter of fiscal year 2025. The decrease in fresh carton volume was related to the shift in cadence as a result of the Sunkist agreement. Fresh lemon carton sales and per carton prices for the second quarter of fiscal year 2026 are net of the Sunkist marketing fee. Brokered lemons and other lemon sales were immaterial in the second quarter of fiscal year 2026, compared to $2.3 million in the second quarter of fiscal year 2025. The decrease compared to the same period of fiscal year 2025 was primarily due to the sale of the Company’s Chilean farms in the first quarter of fiscal year 2026.</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recognized nominal avocado revenue in the second quarter of fiscal year 2026, compared to $2.8 million of avocado revenue in the second quarter of last fiscal year due to the timing of harvest. Approximately 1,232,000 pounds were sold at a $2.26 average price per pound during the second quarter of fiscal year 2025.</w:t>
      </w:r>
    </w:p>
    <w:p>
      <w:pPr>
        <w:spacing w:after="0" w:line="20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Company recognized nominal orange revenue in the second quarter of fiscal year 2026, compared to $1.6 million in the same period of fiscal year 2025. The decrease was primarily related to the transition of the Company’s citrus brokerage operations to Sunkist.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recognized nominal specialty citrus and wine grape revenues in the second quarter of fiscal year 2026, compared to $0.7 million in the second quarter of fiscal year 2025. The decrease was related to the transition of the Company’s citrus brokerage operations to Sunkist.</w:t>
      </w:r>
    </w:p>
    <w:p>
      <w:pPr>
        <w:sectPr>
          <w:pgSz w:w="11900" w:h="16838" w:orient="portrait"/>
          <w:cols w:equalWidth="0" w:num="1">
            <w:col w:w="11240"/>
          </w:cols>
          <w:pgMar w:left="320" w:top="886" w:right="339" w:bottom="1440" w:gutter="0" w:footer="0" w:header="0"/>
        </w:sectPr>
      </w:pPr>
    </w:p>
    <w:bookmarkStart w:id="5" w:name="page6"/>
    <w:bookmarkEnd w:id="5"/>
    <w:p>
      <w:pPr>
        <w:jc w:val="both"/>
        <w:spacing w:after="0" w:line="283" w:lineRule="auto"/>
        <w:rPr>
          <w:sz w:val="20"/>
          <w:szCs w:val="20"/>
          <w:color w:val="auto"/>
        </w:rPr>
      </w:pPr>
      <w:r>
        <w:rPr>
          <w:rFonts w:ascii="Times New Roman" w:cs="Times New Roman" w:eastAsia="Times New Roman" w:hAnsi="Times New Roman"/>
          <w:sz w:val="20"/>
          <w:szCs w:val="20"/>
          <w:color w:val="auto"/>
        </w:rPr>
        <w:t>Due to the termination of the Farm Management Agreement with PGIM Real Estate Finance, LLC effective March 31, 2025, there was no farm management revenue in the second quarter of fiscal year 2026, compared to $0.3 million in the same period of fiscal year 2025.</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Total costs and expenses in the second quarter of fiscal year 2026 were $45.6 million, compared to $38.5 million in the second quarter of last fiscal year. The increase was primarily due to a $9.3 million impairment of the Windfall Farms property assets and $7.8 million loss and expected loss on disposal of assets, primarily the lemon orchards in Yuma, Arizona, partially offset by a decrease in agribusiness costs, a $1.1 million increase in other operating income from insurance proceeds and a decrease in selling, general and administrative expenses.</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Operating loss for the second quarter of fiscal year 2026 was $21.7 million, compared to operating loss of $3.3 million in the second quarter of the previous fiscal year. The increase in operating loss was primarily due to decreased agribusiness revenues and net increased costs and expenses described above. Additionally, total other expense for fiscal year 2026 includes $5.1 million in net accumulated foreign exchange losses recognized on the Chilean farming entities recorded over approximately eight years since the entities were acquired.</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March 2026, the Company received aggregate insurance proceeds of $2.3 million related to an incident at its packinghouse. Of the total insurance proceeds received, $1.2 million was recognized as a reduction of agribusiness costs and $1.1 million was recognized in other operating income during the second quarter of fiscal year 2026.</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Net loss applicable to common stock, after preferred dividends, for the second quarter of fiscal year 2026 was $21.4 million, compared to net loss applicable to common stock of $3.5 million in the second quarter of fiscal year 2025. Net loss per diluted share for the second quarter of fiscal year 2026 was $1.20 compared to net loss per diluted share of $0.20 for the same period of fiscal year 2025. The increase in net loss reflects the same factors impacting total costs and expenses and operating loss noted above.</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Adjusted net loss for diluted EPS in the second quarter of fiscal year 2026 was $5.2 million or $0.29 per diluted share, compared to the second quarter of fiscal year 2025 adjusted net loss for diluted EPS of $3.1 million or $0.17 per diluted share. A reconciliation of net loss attributable to Limoneira Company to adjusted net loss for diluted EPS is provided at the end of this release.</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Non-GAAP adjusted EBITDA was a loss of $1.7 million in the second quarter of fiscal year 2026, compared to a loss of $0.2 million in the same period of fiscal year 2025. A reconciliation of net loss attributable to Limoneira Company to non-GAAP adjusted EBITDA is provided at the end of this release.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Fiscal Year 2026 First Six Months Results</w:t>
      </w:r>
    </w:p>
    <w:p>
      <w:pPr>
        <w:spacing w:after="0" w:line="24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For the six months ended April 30, 2026, total net revenue was $42.1 million, compared to $69.4 million for the same period in fiscal year 2025. The decrease was primarily due to decreased agribusiness revenues from lemons, avocados, oranges and farm management.</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Operating loss for the first six months of fiscal year 2026 was $32.2 million, compared to operating loss of $8.7 million in the same period last fiscal year. The increase in operating loss was primarily due to the second quarter factors described previously. Additionally, total other expense for the first six months of fiscal year 2026 includes $6.1 million in accumulated foreign exchange losses recognized on the Chilean farming entities.</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Net loss applicable to common stock, after preferred dividends, was $31.0 million for the first six months of fiscal year 2026, compared to net loss of $6.7 million in the same period last fiscal year. Net loss per diluted share for the first six months of fiscal year 2026 was $1.74, compared to net loss per diluted share of $0.38 in the same period of fiscal year 2025. The increase in net loss reflects the same factors impacting operating loss and other total expense noted above.</w:t>
      </w:r>
    </w:p>
    <w:p>
      <w:pPr>
        <w:sectPr>
          <w:pgSz w:w="11900" w:h="16838" w:orient="portrait"/>
          <w:cols w:equalWidth="0" w:num="1">
            <w:col w:w="11240"/>
          </w:cols>
          <w:pgMar w:left="320" w:top="886"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20"/>
          <w:szCs w:val="20"/>
          <w:color w:val="auto"/>
        </w:rPr>
        <w:t>For the first six months of fiscal year 2026, adjusted net loss for diluted EPS was $13.7 million compared to adjusted net loss for diluted EPS of $5.6 million for the same period in fiscal year 2025. In the first six months of fiscal year 2026, adjusted net loss per diluted share was $0.77 compared to adjusted net loss per diluted share of $0.32 for the same period in fiscal year 2025, based on approximately 17.9 million and 17.8 million, respectively, adjusted weighted average diluted common shares outstanding.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Balance Sheet and Liquidity</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During the first six months of fiscal year 2026, net cash used in operating activities was $16.1 million, compared to net cash used in operating activities of $4.0 million in the same period of the prior fiscal year. For the first six months of fiscal year 2026, net cash used in investing activities was $3.5 million, compared to net cash used in investing activities of $6.5 million in the same period last fiscal year. Net cash provided by financing activities was $19.1 million for the first six months of fiscal year 2026, compared to net cash provided by financing activities of $9.6 million in the same period of the prior fiscal year.</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Long-term debt as of April 30, 2026, was $93.7 million, compared to $72.5 million at the end of fiscal year 2025. In April 2025, the Company received a cash distribution of $10.0 million of its share of a $20.0 million cash distribution from its 50%/50% real estate development joint venture, </w:t>
      </w:r>
      <w:r>
        <w:rPr>
          <w:rFonts w:ascii="Times New Roman" w:cs="Times New Roman" w:eastAsia="Times New Roman" w:hAnsi="Times New Roman"/>
          <w:sz w:val="20"/>
          <w:szCs w:val="20"/>
          <w:i w:val="1"/>
          <w:iCs w:val="1"/>
          <w:color w:val="auto"/>
        </w:rPr>
        <w:t>Harvest at Limoneira</w:t>
      </w:r>
      <w:r>
        <w:rPr>
          <w:rFonts w:ascii="Times New Roman" w:cs="Times New Roman" w:eastAsia="Times New Roman" w:hAnsi="Times New Roman"/>
          <w:sz w:val="20"/>
          <w:szCs w:val="20"/>
          <w:color w:val="auto"/>
        </w:rPr>
        <w:t>, with The Lewis Group of Companies. The distribution came from the joint venture’s available cash and cash equivalents, which as of April 30, 2026, totaled $19.3 million.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Land and Water Asset Monetization</w:t>
      </w:r>
    </w:p>
    <w:p>
      <w:pPr>
        <w:spacing w:after="0" w:line="2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 xml:space="preserve">In April 2024, </w:t>
      </w:r>
      <w:r>
        <w:rPr>
          <w:rFonts w:ascii="Times New Roman" w:cs="Times New Roman" w:eastAsia="Times New Roman" w:hAnsi="Times New Roman"/>
          <w:sz w:val="20"/>
          <w:szCs w:val="20"/>
          <w:i w:val="1"/>
          <w:iCs w:val="1"/>
          <w:color w:val="auto"/>
        </w:rPr>
        <w:t>Harvest at Limoneira</w:t>
      </w:r>
      <w:r>
        <w:rPr>
          <w:rFonts w:ascii="Times New Roman" w:cs="Times New Roman" w:eastAsia="Times New Roman" w:hAnsi="Times New Roman"/>
          <w:sz w:val="20"/>
          <w:szCs w:val="20"/>
          <w:color w:val="auto"/>
        </w:rPr>
        <w:t xml:space="preserve"> closed on lot sales representing 554 residential units, thus completing the sell-out of Phase 2 of the development. In February 2026, </w:t>
      </w:r>
      <w:r>
        <w:rPr>
          <w:rFonts w:ascii="Times New Roman" w:cs="Times New Roman" w:eastAsia="Times New Roman" w:hAnsi="Times New Roman"/>
          <w:sz w:val="20"/>
          <w:szCs w:val="20"/>
          <w:i w:val="1"/>
          <w:iCs w:val="1"/>
          <w:color w:val="auto"/>
        </w:rPr>
        <w:t>Harvest at Limoneira</w:t>
      </w:r>
      <w:r>
        <w:rPr>
          <w:rFonts w:ascii="Times New Roman" w:cs="Times New Roman" w:eastAsia="Times New Roman" w:hAnsi="Times New Roman"/>
          <w:sz w:val="20"/>
          <w:szCs w:val="20"/>
          <w:color w:val="auto"/>
        </w:rPr>
        <w:t xml:space="preserve"> celebrated the grand opening of five new neighborhoods in Phase 2 and home sales are underway.</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September 2025, Limoneira announced a plan to explore providing housing on the Limco Del Mar Ranch to address Ventura County’s housing needs. Limoneira believes that infill development, such as the Limco Del Mar project, offers the opportunity for efficient, balanced, and well-planned development that has the potential to stimulate economic growth, create jobs, and contribute to vibrant livable communities.</w:t>
      </w: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April 2026, Limoneira completed the formation of a 50%/50% joint venture with California Wood Recycling, Inc. dba Agromin, California's largest organics waste recycler. The joint venture will develop a 70-acre commercial composting center on Limoneira’s property in Santa Paula, CA. Limoneira will lease the site to the joint venture for approximately $560,000 annually, with the lease including 89 acre-feet of annual water supply to the facility. The joint venture is expected to become operational in the second half of fiscal year 2027 and is projected to generate significant earnings, shared equally between Limoneira and Agromin.</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April 2026, one of Limoneira's subsidiaries, Windfall Investors, LLC, entered into a Purchase and Sale Agreement to sell an 80% undivided tenant-in-common interest in the Company’s Windfall Farms property. The property is located in Paso Robles, California and consists of approximately 724 acres of land, including approximately 400 acres of wine grapes and related improvements and infrastructure. The aggregate purchase price is $16 million, consisting of $10 million in cash and a $6 million promissory note secured by a deed of trust. The transaction is expected to close in the fourth quarter of fiscal year 2026.</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April 2026, Limoneira made the decision to cease citrus farming operations on the remaining 600 acres of lemons located at the Company’s Associated Citrus Packers property in Yuma, Arizona. The decision aligns with the Company’s strategic plan to monetize Class 3 Colorado River water rights by conserving water via crop substitution to low water use crops. Several reservoir and water management agreements that govern the management of the Colorado River are scheduled to expire at the end of 2026, and the Company believes there may be near-term opportunities for monetization of its water rights.</w:t>
      </w:r>
    </w:p>
    <w:p>
      <w:pPr>
        <w:sectPr>
          <w:pgSz w:w="11900" w:h="16838" w:orient="portrait"/>
          <w:cols w:equalWidth="0" w:num="1">
            <w:col w:w="11240"/>
          </w:cols>
          <w:pgMar w:left="320" w:top="88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Fiscal Year 2026 Guidance and Longer-Term Outlook</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continues to expect fresh lemon volumes to be in the range of 4.0 million to 4.5 million cartons for fiscal year 2026.</w:t>
      </w:r>
    </w:p>
    <w:p>
      <w:pPr>
        <w:spacing w:after="0" w:line="24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Company now expects avocado volumes to be in the range of 5.5 million to 6.5 million pounds for fiscal year 2026, compared to the prior expectation of 5.0 million to 6.0 million pounds.</w:t>
      </w:r>
    </w:p>
    <w:p>
      <w:pPr>
        <w:spacing w:after="0" w:line="1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Company expects to receive total proceeds of approximately $180 million from Harvest, LLCB II, LLC and East Area II spread out over seven fiscal years, of which $10 million was received in fiscal year 2025 and $15 million was received in fiscal year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Harvest at Limoneira Cash Flow Projections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2024 Actual</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2025 Actual</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0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2030</w:t>
            </w:r>
          </w:p>
        </w:tc>
      </w:tr>
      <w:tr>
        <w:trPr>
          <w:trHeight w:val="223"/>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Distributions</w:t>
            </w:r>
          </w:p>
        </w:tc>
        <w:tc>
          <w:tcPr>
            <w:tcW w:w="126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i w:val="1"/>
                <w:iCs w:val="1"/>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i w:val="1"/>
                <w:iCs w:val="1"/>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i w:val="1"/>
                <w:iCs w:val="1"/>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$42</w:t>
            </w:r>
          </w:p>
        </w:tc>
      </w:tr>
    </w:tbl>
    <w:p>
      <w:pPr>
        <w:spacing w:after="0" w:line="3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has 800 acres of non-bearing avocados estimated to become full bearing over the next two to four years, which the Company expects will enable strong organic growth in the coming years. Additionally, the Company plans to continue expanding its plantings of avocados over the next two fiscal years. The foregoing describes organic growth opportunities and does not include potential acquisition opportunities for the Company in its highly fragmented industry.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Information</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will host a conference call to discuss its financial results on June 9, 2026, at 1:30 pm Pacific Time (4:30 pm Eastern Time). Investors interested in participating in the live call can dial (877) 407-0789 from the U.S. International callers can dial (201) 689-8562. A telephone replay will be available approximately three hours after the call concludes and will be available through June 23, 2026, by dialing (844) 512-2921 from the U.S., or (412) 317-6671 from international locations; the passcode is 13760558.</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Limoneira Company</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Limoneira Company, a 133-year-old international agribusiness headquartered in Santa Paula, California, has become one of the premier integrated agribusinesses in the world. Limoneira (lē moñ âra) is a dedicated sustainability company with 7,000 acres of rich agricultural lands, real estate properties, and water rights in California, Arizona and Argentina. The Company is a leading producer of lemons and avocados that are enjoyed throughout the world. For more about Limoneira Company, visit </w:t>
      </w:r>
      <w:r>
        <w:rPr>
          <w:rFonts w:ascii="Times New Roman" w:cs="Times New Roman" w:eastAsia="Times New Roman" w:hAnsi="Times New Roman"/>
          <w:sz w:val="20"/>
          <w:szCs w:val="20"/>
          <w:u w:val="single" w:color="auto"/>
          <w:color w:val="0000FF"/>
        </w:rPr>
        <w:t>www.limoneira.com.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John Mills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Managing Partner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ICR 646-277-1254</w:t>
      </w:r>
    </w:p>
    <w:p>
      <w:pPr>
        <w:sectPr>
          <w:pgSz w:w="11900" w:h="16838" w:orient="portrait"/>
          <w:cols w:equalWidth="0" w:num="1">
            <w:col w:w="11240"/>
          </w:cols>
          <w:pgMar w:left="320" w:top="88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This press release contains forward-looking statements within the meaning of Section 27A of the Securities Act of 1933, as amended, and Section 21E of the Securities Exchange Act of 1934, as amended. These forward-looking statements are based on Limoneira’s current expectations about future events and can be identified by terms such as “could,” “expect,” “may,” “anticipate,” “outlook,” “plans,” “project,” “potential,” “believe,” “intend,” “should,” “will,” “likely,” “strive,” “estimate,” and similar expressions referring to future periods.</w:t>
      </w:r>
    </w:p>
    <w:p>
      <w:pPr>
        <w:spacing w:after="0" w:line="2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Limoneira believes the expectations reflected in the forward-looking statements are reasonable but cannot guarantee future results, level of activity, performance or achievements. Actual results may differ materially from those expressed or implied in the forward-looking statements. Therefore, Limoneira cautions you against relying on any of these forward-looking statements. Factors that may cause future outcomes to differ materially from those foreseen in forward-looking statements include, but are not limited to: success in executing the Company’s business plans and strategies, including the transition of the Company's lemon sales and marketing to Sunkist Growers Inc. and the earnings of the newly formed joint venture with Agromin and managing the risks involved in the foregoing; the ability of the transition to Sunkist to improve efficiency and reduce cost; changes in laws, regulations, rules, quotas, tariffs and import laws; weather conditions that affect production, transportation, storage, import and export of fresh produce; increased pressure from crop disease, insects and other pests; disruption of water supplies or changes in water allocations; disruption in the global supply chain; pricing and supply of raw materials and products; market responses to industry volume pressures; pricing and supply of energy; inability to pay debt obligations; ability to maintain compliance with debt covenants under our loan agreements or obtain modifications, waivers or deferrals of such covenants; changes in interest rates and the impact of inflation; availability of financing for land development activities; general economic conditions for residential and commercial real estate development; political changes and economic crises; international conflict; acts of terrorism; labor disruptions, strikes or work stoppages; government restrictions on land use; the impact of foreign exchange rate movements; loss of important intellectual property rights; and market and pricing risks due to concentrated ownership of stock. Other risks and uncertainties include, among others, those that are described in Limoneira’s SEC filings that are available on the SEC’s website at </w:t>
      </w:r>
      <w:r>
        <w:rPr>
          <w:rFonts w:ascii="Times New Roman" w:cs="Times New Roman" w:eastAsia="Times New Roman" w:hAnsi="Times New Roman"/>
          <w:sz w:val="20"/>
          <w:szCs w:val="20"/>
          <w:i w:val="1"/>
          <w:iCs w:val="1"/>
          <w:color w:val="0000FF"/>
        </w:rPr>
        <w:t>http://www.sec.gov</w:t>
      </w:r>
      <w:r>
        <w:rPr>
          <w:rFonts w:ascii="Times New Roman" w:cs="Times New Roman" w:eastAsia="Times New Roman" w:hAnsi="Times New Roman"/>
          <w:sz w:val="20"/>
          <w:szCs w:val="20"/>
          <w:i w:val="1"/>
          <w:iCs w:val="1"/>
          <w:color w:val="auto"/>
        </w:rPr>
        <w:t>. Limoneira undertakes no obligation to subsequently update or revise the forward-looking statements made in this press release, except as required by law.</w:t>
      </w:r>
    </w:p>
    <w:p>
      <w:pPr>
        <w:sectPr>
          <w:pgSz w:w="11900" w:h="16838" w:orient="portrait"/>
          <w:cols w:equalWidth="0" w:num="1">
            <w:col w:w="11240"/>
          </w:cols>
          <w:pgMar w:left="320" w:top="88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April 30, 2026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 2025</w:t>
            </w:r>
          </w:p>
        </w:tc>
        <w:tc>
          <w:tcPr>
            <w:tcW w:w="0" w:type="dxa"/>
            <w:vAlign w:val="bottom"/>
          </w:tcPr>
          <w:p>
            <w:pPr>
              <w:spacing w:after="0"/>
              <w:rPr>
                <w:sz w:val="1"/>
                <w:szCs w:val="1"/>
                <w:color w:val="auto"/>
              </w:rPr>
            </w:pPr>
          </w:p>
        </w:tc>
      </w:tr>
      <w:tr>
        <w:trPr>
          <w:trHeight w:val="213"/>
        </w:trPr>
        <w:tc>
          <w:tcPr>
            <w:tcW w:w="8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0" w:type="dxa"/>
            <w:vAlign w:val="bottom"/>
          </w:tcPr>
          <w:p>
            <w:pPr>
              <w:spacing w:after="0"/>
              <w:rPr>
                <w:sz w:val="1"/>
                <w:szCs w:val="1"/>
                <w:color w:val="auto"/>
              </w:rPr>
            </w:pPr>
          </w:p>
        </w:tc>
      </w:tr>
      <w:tr>
        <w:trPr>
          <w:trHeight w:val="213"/>
        </w:trPr>
        <w:tc>
          <w:tcPr>
            <w:tcW w:w="8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15,432</w:t>
            </w: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Cultural costs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0" w:type="dxa"/>
            <w:vAlign w:val="bottom"/>
          </w:tcPr>
          <w:p>
            <w:pPr>
              <w:spacing w:after="0"/>
              <w:rPr>
                <w:sz w:val="1"/>
                <w:szCs w:val="1"/>
                <w:color w:val="auto"/>
              </w:rPr>
            </w:pPr>
          </w:p>
        </w:tc>
      </w:tr>
      <w:tr>
        <w:trPr>
          <w:trHeight w:val="213"/>
        </w:trPr>
        <w:tc>
          <w:tcPr>
            <w:tcW w:w="8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4,444</w:t>
            </w: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Receivables/other from related parties, net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w:t>
            </w:r>
          </w:p>
        </w:tc>
        <w:tc>
          <w:tcPr>
            <w:tcW w:w="0" w:type="dxa"/>
            <w:vAlign w:val="bottom"/>
          </w:tcPr>
          <w:p>
            <w:pPr>
              <w:spacing w:after="0"/>
              <w:rPr>
                <w:sz w:val="1"/>
                <w:szCs w:val="1"/>
                <w:color w:val="auto"/>
              </w:rPr>
            </w:pPr>
          </w:p>
        </w:tc>
      </w:tr>
      <w:tr>
        <w:trPr>
          <w:trHeight w:val="213"/>
        </w:trPr>
        <w:tc>
          <w:tcPr>
            <w:tcW w:w="8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Assets held for sale</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18,249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13,718</w:t>
            </w:r>
          </w:p>
        </w:tc>
        <w:tc>
          <w:tcPr>
            <w:tcW w:w="0" w:type="dxa"/>
            <w:vAlign w:val="bottom"/>
          </w:tcPr>
          <w:p>
            <w:pPr>
              <w:spacing w:after="0"/>
              <w:rPr>
                <w:sz w:val="1"/>
                <w:szCs w:val="1"/>
                <w:color w:val="auto"/>
              </w:rPr>
            </w:pPr>
          </w:p>
        </w:tc>
      </w:tr>
      <w:tr>
        <w:trPr>
          <w:trHeight w:val="212"/>
        </w:trPr>
        <w:tc>
          <w:tcPr>
            <w:tcW w:w="8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41,387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40,482</w:t>
            </w:r>
          </w:p>
        </w:tc>
        <w:tc>
          <w:tcPr>
            <w:tcW w:w="0" w:type="dxa"/>
            <w:vAlign w:val="bottom"/>
          </w:tcPr>
          <w:p>
            <w:pPr>
              <w:spacing w:after="0"/>
              <w:rPr>
                <w:sz w:val="1"/>
                <w:szCs w:val="1"/>
                <w:color w:val="auto"/>
              </w:rPr>
            </w:pP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140,861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172,645</w:t>
            </w: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development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10,628</w:t>
            </w:r>
          </w:p>
        </w:tc>
        <w:tc>
          <w:tcPr>
            <w:tcW w:w="0" w:type="dxa"/>
            <w:vAlign w:val="bottom"/>
          </w:tcPr>
          <w:p>
            <w:pPr>
              <w:spacing w:after="0"/>
              <w:rPr>
                <w:sz w:val="1"/>
                <w:szCs w:val="1"/>
                <w:color w:val="auto"/>
              </w:rPr>
            </w:pP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investments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73,638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72,167</w:t>
            </w: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0" w:type="dxa"/>
            <w:vAlign w:val="bottom"/>
          </w:tcPr>
          <w:p>
            <w:pPr>
              <w:spacing w:after="0"/>
              <w:rPr>
                <w:sz w:val="1"/>
                <w:szCs w:val="1"/>
                <w:color w:val="auto"/>
              </w:rPr>
            </w:pP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2,621</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22,766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11,088</w:t>
            </w:r>
          </w:p>
        </w:tc>
        <w:tc>
          <w:tcPr>
            <w:tcW w:w="0" w:type="dxa"/>
            <w:vAlign w:val="bottom"/>
          </w:tcPr>
          <w:p>
            <w:pPr>
              <w:spacing w:after="0"/>
              <w:rPr>
                <w:sz w:val="1"/>
                <w:szCs w:val="1"/>
                <w:color w:val="auto"/>
              </w:rPr>
            </w:pPr>
          </w:p>
        </w:tc>
      </w:tr>
      <w:tr>
        <w:trPr>
          <w:trHeight w:val="212"/>
        </w:trPr>
        <w:tc>
          <w:tcPr>
            <w:tcW w:w="8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293,848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311,137</w:t>
            </w:r>
          </w:p>
        </w:tc>
        <w:tc>
          <w:tcPr>
            <w:tcW w:w="0" w:type="dxa"/>
            <w:vAlign w:val="bottom"/>
          </w:tcPr>
          <w:p>
            <w:pPr>
              <w:spacing w:after="0"/>
              <w:rPr>
                <w:sz w:val="1"/>
                <w:szCs w:val="1"/>
                <w:color w:val="auto"/>
              </w:rPr>
            </w:pP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Equity</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7,068</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7,896</w:t>
            </w: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Growers and suppliers payable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6,885</w:t>
            </w:r>
          </w:p>
        </w:tc>
        <w:tc>
          <w:tcPr>
            <w:tcW w:w="0" w:type="dxa"/>
            <w:vAlign w:val="bottom"/>
          </w:tcPr>
          <w:p>
            <w:pPr>
              <w:spacing w:after="0"/>
              <w:rPr>
                <w:sz w:val="1"/>
                <w:szCs w:val="1"/>
                <w:color w:val="auto"/>
              </w:rPr>
            </w:pPr>
          </w:p>
        </w:tc>
      </w:tr>
      <w:tr>
        <w:trPr>
          <w:trHeight w:val="213"/>
        </w:trPr>
        <w:tc>
          <w:tcPr>
            <w:tcW w:w="8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9,290</w:t>
            </w: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Payables to related parties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5,989</w:t>
            </w:r>
          </w:p>
        </w:tc>
        <w:tc>
          <w:tcPr>
            <w:tcW w:w="0" w:type="dxa"/>
            <w:vAlign w:val="bottom"/>
          </w:tcPr>
          <w:p>
            <w:pPr>
              <w:spacing w:after="0"/>
              <w:rPr>
                <w:sz w:val="1"/>
                <w:szCs w:val="1"/>
                <w:color w:val="auto"/>
              </w:rPr>
            </w:pPr>
          </w:p>
        </w:tc>
      </w:tr>
      <w:tr>
        <w:trPr>
          <w:trHeight w:val="213"/>
        </w:trPr>
        <w:tc>
          <w:tcPr>
            <w:tcW w:w="8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2"/>
        </w:trPr>
        <w:tc>
          <w:tcPr>
            <w:tcW w:w="8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24,679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30,091</w:t>
            </w:r>
          </w:p>
        </w:tc>
        <w:tc>
          <w:tcPr>
            <w:tcW w:w="0" w:type="dxa"/>
            <w:vAlign w:val="bottom"/>
          </w:tcPr>
          <w:p>
            <w:pPr>
              <w:spacing w:after="0"/>
              <w:rPr>
                <w:sz w:val="1"/>
                <w:szCs w:val="1"/>
                <w:color w:val="auto"/>
              </w:rPr>
            </w:pP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72,450</w:t>
            </w:r>
          </w:p>
        </w:tc>
        <w:tc>
          <w:tcPr>
            <w:tcW w:w="0" w:type="dxa"/>
            <w:vAlign w:val="bottom"/>
          </w:tcPr>
          <w:p>
            <w:pPr>
              <w:spacing w:after="0"/>
              <w:rPr>
                <w:sz w:val="1"/>
                <w:szCs w:val="1"/>
                <w:color w:val="auto"/>
              </w:rPr>
            </w:pPr>
          </w:p>
        </w:tc>
      </w:tr>
      <w:tr>
        <w:trPr>
          <w:trHeight w:val="213"/>
        </w:trPr>
        <w:tc>
          <w:tcPr>
            <w:tcW w:w="8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15,378</w:t>
            </w: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w:t>
            </w:r>
          </w:p>
        </w:tc>
        <w:tc>
          <w:tcPr>
            <w:tcW w:w="0" w:type="dxa"/>
            <w:vAlign w:val="bottom"/>
          </w:tcPr>
          <w:p>
            <w:pPr>
              <w:spacing w:after="0"/>
              <w:rPr>
                <w:sz w:val="1"/>
                <w:szCs w:val="1"/>
                <w:color w:val="auto"/>
              </w:rPr>
            </w:pPr>
          </w:p>
        </w:tc>
      </w:tr>
      <w:tr>
        <w:trPr>
          <w:trHeight w:val="207"/>
        </w:trPr>
        <w:tc>
          <w:tcPr>
            <w:tcW w:w="8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130,115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120,300</w:t>
            </w: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5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Series B Convertible Preferred Stock – $100.00 par value (50,000 shares authorized: 14,790 shares issued and outstanding at April</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0" w:type="dxa"/>
            <w:vAlign w:val="bottom"/>
          </w:tcPr>
          <w:p>
            <w:pPr>
              <w:spacing w:after="0"/>
              <w:rPr>
                <w:sz w:val="1"/>
                <w:szCs w:val="1"/>
                <w:color w:val="auto"/>
              </w:rPr>
            </w:pP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 2026 and October 31, 2025) (8.75% coupon rate)</w:t>
            </w: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5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Series B-2 Convertible Preferred Stock – $100.00 par value (10,000 shares authorized: 9,300 shares issued and outstanding at April</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9,331</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 2026 and October 31, 2025) (4% dividend rate on liquidation value of $1,000 per share)</w:t>
            </w: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5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Series A Junior Participating Preferred Stock – $0.01 par value (20,000 shares authorized: zero issued or outstanding at April</w:t>
            </w:r>
          </w:p>
        </w:tc>
        <w:tc>
          <w:tcPr>
            <w:tcW w:w="12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30, 2026 and October 31, 2025)</w:t>
            </w:r>
          </w:p>
        </w:tc>
        <w:tc>
          <w:tcPr>
            <w:tcW w:w="12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5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Common Stock – $0.01 par value (39,000,000 shares authorized: 18,364,496 and 18,287,868 shares issued and 18,113,519 and</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13"/>
        </w:trPr>
        <w:tc>
          <w:tcPr>
            <w:tcW w:w="8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18,036,891 shares outstanding at April 30, 2026 and October 31, 2025, respectively)</w:t>
            </w: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171,365</w:t>
            </w:r>
          </w:p>
        </w:tc>
        <w:tc>
          <w:tcPr>
            <w:tcW w:w="0" w:type="dxa"/>
            <w:vAlign w:val="bottom"/>
          </w:tcPr>
          <w:p>
            <w:pPr>
              <w:spacing w:after="0"/>
              <w:rPr>
                <w:sz w:val="1"/>
                <w:szCs w:val="1"/>
                <w:color w:val="auto"/>
              </w:rPr>
            </w:pPr>
          </w:p>
        </w:tc>
      </w:tr>
      <w:tr>
        <w:trPr>
          <w:trHeight w:val="213"/>
        </w:trPr>
        <w:tc>
          <w:tcPr>
            <w:tcW w:w="8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(6,270)</w:t>
            </w:r>
          </w:p>
        </w:tc>
        <w:tc>
          <w:tcPr>
            <w:tcW w:w="0" w:type="dxa"/>
            <w:vAlign w:val="bottom"/>
          </w:tcPr>
          <w:p>
            <w:pPr>
              <w:spacing w:after="0"/>
              <w:rPr>
                <w:sz w:val="1"/>
                <w:szCs w:val="1"/>
                <w:color w:val="auto"/>
              </w:rPr>
            </w:pPr>
          </w:p>
        </w:tc>
      </w:tr>
      <w:tr>
        <w:trPr>
          <w:trHeight w:val="213"/>
        </w:trPr>
        <w:tc>
          <w:tcPr>
            <w:tcW w:w="8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Treasury stock, at cost, 250,977 shares at April 30, 2026 and October 31, 2025</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19,315</w:t>
            </w:r>
          </w:p>
        </w:tc>
        <w:tc>
          <w:tcPr>
            <w:tcW w:w="0" w:type="dxa"/>
            <w:vAlign w:val="bottom"/>
          </w:tcPr>
          <w:p>
            <w:pPr>
              <w:spacing w:after="0"/>
              <w:rPr>
                <w:sz w:val="1"/>
                <w:szCs w:val="1"/>
                <w:color w:val="auto"/>
              </w:rPr>
            </w:pPr>
          </w:p>
        </w:tc>
      </w:tr>
      <w:tr>
        <w:trPr>
          <w:trHeight w:val="207"/>
        </w:trPr>
        <w:tc>
          <w:tcPr>
            <w:tcW w:w="8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152,923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180,027</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293,848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311,137</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40" w:top="891"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252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4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920" w:type="dxa"/>
            <w:vAlign w:val="bottom"/>
            <w:tcBorders>
              <w:bottom w:val="single" w:sz="8" w:color="auto"/>
            </w:tcBorders>
          </w:tcPr>
          <w:p>
            <w:pPr>
              <w:spacing w:after="0"/>
              <w:rPr>
                <w:sz w:val="18"/>
                <w:szCs w:val="18"/>
                <w:color w:val="auto"/>
              </w:rPr>
            </w:pPr>
          </w:p>
        </w:tc>
      </w:tr>
      <w:tr>
        <w:trPr>
          <w:trHeight w:val="209"/>
        </w:trPr>
        <w:tc>
          <w:tcPr>
            <w:tcW w:w="54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5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Agribusiness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22,530</w:t>
            </w:r>
          </w:p>
        </w:tc>
        <w:tc>
          <w:tcPr>
            <w:tcW w:w="100" w:type="dxa"/>
            <w:vAlign w:val="bottom"/>
          </w:tcPr>
          <w:p>
            <w:pPr>
              <w:spacing w:after="0"/>
              <w:rPr>
                <w:sz w:val="18"/>
                <w:szCs w:val="18"/>
                <w:color w:val="auto"/>
              </w:rPr>
            </w:pP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33,582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39,286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66,434</w:t>
            </w:r>
          </w:p>
        </w:tc>
      </w:tr>
      <w:tr>
        <w:trPr>
          <w:trHeight w:val="219"/>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operations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w:t>
            </w:r>
          </w:p>
        </w:tc>
      </w:tr>
      <w:tr>
        <w:trPr>
          <w:trHeight w:val="207"/>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23,926</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42,131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69,424</w:t>
            </w: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5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Agribusiness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23,158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65,203</w:t>
            </w:r>
          </w:p>
        </w:tc>
      </w:tr>
      <w:tr>
        <w:trPr>
          <w:trHeight w:val="219"/>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operations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w:t>
            </w:r>
          </w:p>
        </w:tc>
      </w:tr>
      <w:tr>
        <w:trPr>
          <w:trHeight w:val="213"/>
        </w:trPr>
        <w:tc>
          <w:tcPr>
            <w:tcW w:w="5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assets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sales of water rights</w:t>
            </w:r>
          </w:p>
        </w:tc>
        <w:tc>
          <w:tcPr>
            <w:tcW w:w="9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w:t>
            </w:r>
          </w:p>
        </w:tc>
      </w:tr>
      <w:tr>
        <w:trPr>
          <w:trHeight w:val="213"/>
        </w:trPr>
        <w:tc>
          <w:tcPr>
            <w:tcW w:w="5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and expected loss on disposal of assets, net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income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5,420</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12,208</w:t>
            </w:r>
          </w:p>
        </w:tc>
      </w:tr>
      <w:tr>
        <w:trPr>
          <w:trHeight w:val="21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9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45,620</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38,464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74,376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78,115</w:t>
            </w:r>
          </w:p>
        </w:tc>
      </w:tr>
      <w:tr>
        <w:trPr>
          <w:trHeight w:val="207"/>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(21,694)</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(8,691)</w:t>
            </w: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5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 net of patronage dividends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r>
      <w:tr>
        <w:trPr>
          <w:trHeight w:val="213"/>
        </w:trPr>
        <w:tc>
          <w:tcPr>
            <w:tcW w:w="5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in (losses) earnings of investments, net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r>
      <w:tr>
        <w:trPr>
          <w:trHeight w:val="219"/>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(5,080)</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7"/>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(5,911)</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1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 benefit (provision)</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(27,605)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w:t>
            </w:r>
          </w:p>
        </w:tc>
      </w:tr>
      <w:tr>
        <w:trPr>
          <w:trHeight w:val="213"/>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5,281</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2,106</w:t>
            </w:r>
          </w:p>
        </w:tc>
      </w:tr>
      <w:tr>
        <w:trPr>
          <w:trHeight w:val="21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(22,324)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(6,436)</w:t>
            </w:r>
          </w:p>
        </w:tc>
      </w:tr>
      <w:tr>
        <w:trPr>
          <w:trHeight w:val="213"/>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 net</w:t>
            </w: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Limoneira Company</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(21,420)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(6,435)</w:t>
            </w:r>
          </w:p>
        </w:tc>
      </w:tr>
      <w:tr>
        <w:trPr>
          <w:trHeight w:val="21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dividends</w:t>
            </w:r>
          </w:p>
        </w:tc>
        <w:tc>
          <w:tcPr>
            <w:tcW w:w="9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37"/>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applicable to common stock</w:t>
            </w: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(21,420)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(6,686)</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41"/>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loss per common share</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41"/>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loss per common share</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outstanding-basic</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17,808</w:t>
            </w:r>
          </w:p>
        </w:tc>
      </w:tr>
      <w:tr>
        <w:trPr>
          <w:trHeight w:val="210"/>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outstanding-diluted</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17,808</w:t>
            </w:r>
          </w:p>
        </w:tc>
      </w:tr>
    </w:tbl>
    <w:p>
      <w:pPr>
        <w:sectPr>
          <w:pgSz w:w="11900" w:h="16838" w:orient="portrait"/>
          <w:cols w:equalWidth="0" w:num="1">
            <w:col w:w="11240"/>
          </w:cols>
          <w:pgMar w:left="320" w:top="89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significant depreciable assets associated with the nature of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operations and interest costs associated with the Company's capital structure, management believes that earnings before interest, income taxes, depreciation and amortization ("EBITDA") and adjusted EBITDA, which excludes stock-based compensation, impairment of assets, loss and expected loss on disposal of assets, net and foreign currency losses, are important measures to evaluate the Company's results of operations between periods on a more comparable basis. Beginning in fiscal year 2026, adjusted EBITDA excludes foreign currency losses, as management believes this is a better representation of cash generated by operations. Foreign currency losses were immaterial in fiscal year 2025 and, therefore, were not separately adjusted. Such measurements are not prepared in accordance with U.S. generally accepted accounting principles ("GAAP") and should not be construed as an alternative to reported results determined in accordance with GAAP. The non-GAAP information provided is unique to the Company and may not be consistent with methodologies used by other companies.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EBITDA and adjusted EBITDA are summarized and reconciled to net loss attributable to Limoneira Company, which management considers to be the most directly comparable financial measure calculated and presented in accordance with GAAP,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244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940" w:type="dxa"/>
            <w:vAlign w:val="bottom"/>
            <w:tcBorders>
              <w:bottom w:val="single" w:sz="8" w:color="auto"/>
            </w:tcBorders>
          </w:tcPr>
          <w:p>
            <w:pPr>
              <w:spacing w:after="0"/>
              <w:rPr>
                <w:sz w:val="18"/>
                <w:szCs w:val="18"/>
                <w:color w:val="auto"/>
              </w:rPr>
            </w:pPr>
          </w:p>
        </w:tc>
      </w:tr>
      <w:tr>
        <w:trPr>
          <w:trHeight w:val="209"/>
        </w:trPr>
        <w:tc>
          <w:tcPr>
            <w:tcW w:w="57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Limoneira Company</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(6,435)</w:t>
            </w:r>
          </w:p>
        </w:tc>
      </w:tr>
      <w:tr>
        <w:trPr>
          <w:trHeight w:val="21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 of patronage dividends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r>
      <w:tr>
        <w:trPr>
          <w:trHeight w:val="21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w:t>
            </w:r>
          </w:p>
        </w:tc>
      </w:tr>
      <w:tr>
        <w:trPr>
          <w:trHeight w:val="21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w:t>
            </w:r>
          </w:p>
        </w:tc>
      </w:tr>
      <w:tr>
        <w:trPr>
          <w:trHeight w:val="207"/>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(33,437)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(3,956)</w:t>
            </w:r>
          </w:p>
        </w:tc>
      </w:tr>
      <w:tr>
        <w:trPr>
          <w:trHeight w:val="21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w:t>
            </w:r>
          </w:p>
        </w:tc>
      </w:tr>
      <w:tr>
        <w:trPr>
          <w:trHeight w:val="21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assets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and expected loss on disposal of assets,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losses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4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following is a reconciliation of net loss attributable to Limoneira Company to adjusted net loss for diluted EPS (in thousands, except per share data):</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256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2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960" w:type="dxa"/>
            <w:vAlign w:val="bottom"/>
            <w:tcBorders>
              <w:bottom w:val="single" w:sz="8" w:color="auto"/>
            </w:tcBorders>
          </w:tcPr>
          <w:p>
            <w:pPr>
              <w:spacing w:after="0"/>
              <w:rPr>
                <w:sz w:val="18"/>
                <w:szCs w:val="18"/>
                <w:color w:val="auto"/>
              </w:rPr>
            </w:pPr>
          </w:p>
        </w:tc>
      </w:tr>
      <w:tr>
        <w:trPr>
          <w:trHeight w:val="209"/>
        </w:trPr>
        <w:tc>
          <w:tcPr>
            <w:tcW w:w="52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Limoneira Company</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(21,420)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(6,435)</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preferred stock and unvested, restricted stock</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assets</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9,324</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and expected loss on disposal of assets, net</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losses</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5,078</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effect of adjustments at federal and state rates</w:t>
            </w: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(6,203)</w:t>
            </w:r>
          </w:p>
        </w:tc>
        <w:tc>
          <w:tcPr>
            <w:tcW w:w="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(6,605)</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r>
      <w:tr>
        <w:trPr>
          <w:trHeight w:val="212"/>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loss for diluted EPS</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(5,223)</w:t>
            </w:r>
          </w:p>
        </w:tc>
        <w:tc>
          <w:tcPr>
            <w:tcW w:w="8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(13,731)</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(5,638)</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5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6"/>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loss per common share</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(0.38)</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5"/>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diluted net loss per common share</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17,925</w:t>
            </w:r>
          </w:p>
        </w:tc>
        <w:tc>
          <w:tcPr>
            <w:tcW w:w="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17,917</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17,808</w:t>
            </w:r>
          </w:p>
        </w:tc>
      </w:tr>
      <w:tr>
        <w:trPr>
          <w:trHeight w:val="209"/>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weighted-average common shares outstanding - diluted</w:t>
            </w: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17,925</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17,825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17,917</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17,808</w:t>
            </w:r>
          </w:p>
        </w:tc>
      </w:tr>
      <w:tr>
        <w:trPr>
          <w:trHeight w:val="21"/>
        </w:trPr>
        <w:tc>
          <w:tcPr>
            <w:tcW w:w="5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20" w:top="89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40" w:type="dxa"/>
            <w:vAlign w:val="bottom"/>
            <w:tcBorders>
              <w:bottom w:val="single" w:sz="8" w:color="auto"/>
            </w:tcBorders>
            <w:gridSpan w:val="9"/>
          </w:tcPr>
          <w:p>
            <w:pPr>
              <w:jc w:val="right"/>
              <w:ind w:right="704"/>
              <w:spacing w:after="0"/>
              <w:rPr>
                <w:sz w:val="20"/>
                <w:szCs w:val="20"/>
                <w:color w:val="auto"/>
              </w:rPr>
            </w:pPr>
            <w:r>
              <w:rPr>
                <w:rFonts w:ascii="Times New Roman" w:cs="Times New Roman" w:eastAsia="Times New Roman" w:hAnsi="Times New Roman"/>
                <w:sz w:val="15"/>
                <w:szCs w:val="15"/>
                <w:b w:val="1"/>
                <w:bCs w:val="1"/>
                <w:color w:val="auto"/>
              </w:rPr>
              <w:t>Agribusiness Segment Information for the Three Months Ended April 30, 2026</w:t>
            </w:r>
          </w:p>
        </w:tc>
        <w:tc>
          <w:tcPr>
            <w:tcW w:w="0" w:type="dxa"/>
            <w:vAlign w:val="bottom"/>
          </w:tcPr>
          <w:p>
            <w:pPr>
              <w:spacing w:after="0"/>
              <w:rPr>
                <w:sz w:val="1"/>
                <w:szCs w:val="1"/>
                <w:color w:val="auto"/>
              </w:rPr>
            </w:pPr>
          </w:p>
        </w:tc>
      </w:tr>
      <w:tr>
        <w:trPr>
          <w:trHeight w:val="146"/>
        </w:trPr>
        <w:tc>
          <w:tcPr>
            <w:tcW w:w="4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ind w:right="384"/>
              <w:spacing w:after="0" w:line="146" w:lineRule="exact"/>
              <w:rPr>
                <w:sz w:val="20"/>
                <w:szCs w:val="20"/>
                <w:color w:val="auto"/>
              </w:rPr>
            </w:pPr>
            <w:r>
              <w:rPr>
                <w:rFonts w:ascii="Times New Roman" w:cs="Times New Roman" w:eastAsia="Times New Roman" w:hAnsi="Times New Roman"/>
                <w:sz w:val="15"/>
                <w:szCs w:val="15"/>
                <w:b w:val="1"/>
                <w:bCs w:val="1"/>
                <w:color w:val="auto"/>
              </w:rPr>
              <w:t>Fresh</w:t>
            </w:r>
          </w:p>
        </w:tc>
        <w:tc>
          <w:tcPr>
            <w:tcW w:w="260" w:type="dxa"/>
            <w:vAlign w:val="bottom"/>
          </w:tcPr>
          <w:p>
            <w:pPr>
              <w:spacing w:after="0"/>
              <w:rPr>
                <w:sz w:val="12"/>
                <w:szCs w:val="12"/>
                <w:color w:val="auto"/>
              </w:rPr>
            </w:pPr>
          </w:p>
        </w:tc>
        <w:tc>
          <w:tcPr>
            <w:tcW w:w="1060" w:type="dxa"/>
            <w:vAlign w:val="bottom"/>
          </w:tcPr>
          <w:p>
            <w:pPr>
              <w:jc w:val="right"/>
              <w:ind w:right="324"/>
              <w:spacing w:after="0" w:line="146" w:lineRule="exact"/>
              <w:rPr>
                <w:sz w:val="20"/>
                <w:szCs w:val="20"/>
                <w:color w:val="auto"/>
              </w:rPr>
            </w:pPr>
            <w:r>
              <w:rPr>
                <w:rFonts w:ascii="Times New Roman" w:cs="Times New Roman" w:eastAsia="Times New Roman" w:hAnsi="Times New Roman"/>
                <w:sz w:val="15"/>
                <w:szCs w:val="15"/>
                <w:b w:val="1"/>
                <w:bCs w:val="1"/>
                <w:color w:val="auto"/>
              </w:rPr>
              <w:t>Lemon</w:t>
            </w:r>
          </w:p>
        </w:tc>
        <w:tc>
          <w:tcPr>
            <w:tcW w:w="260" w:type="dxa"/>
            <w:vAlign w:val="bottom"/>
          </w:tcPr>
          <w:p>
            <w:pPr>
              <w:spacing w:after="0"/>
              <w:rPr>
                <w:sz w:val="12"/>
                <w:szCs w:val="12"/>
                <w:color w:val="auto"/>
              </w:rPr>
            </w:pPr>
          </w:p>
        </w:tc>
        <w:tc>
          <w:tcPr>
            <w:tcW w:w="1080" w:type="dxa"/>
            <w:vAlign w:val="bottom"/>
            <w:vMerge w:val="restart"/>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Avocados</w:t>
            </w:r>
          </w:p>
        </w:tc>
        <w:tc>
          <w:tcPr>
            <w:tcW w:w="200" w:type="dxa"/>
            <w:vAlign w:val="bottom"/>
          </w:tcPr>
          <w:p>
            <w:pPr>
              <w:spacing w:after="0"/>
              <w:rPr>
                <w:sz w:val="12"/>
                <w:szCs w:val="12"/>
                <w:color w:val="auto"/>
              </w:rPr>
            </w:pPr>
          </w:p>
        </w:tc>
        <w:tc>
          <w:tcPr>
            <w:tcW w:w="1160" w:type="dxa"/>
            <w:vAlign w:val="bottom"/>
          </w:tcPr>
          <w:p>
            <w:pPr>
              <w:jc w:val="right"/>
              <w:ind w:right="384"/>
              <w:spacing w:after="0" w:line="146" w:lineRule="exact"/>
              <w:rPr>
                <w:sz w:val="20"/>
                <w:szCs w:val="20"/>
                <w:color w:val="auto"/>
              </w:rPr>
            </w:pPr>
            <w:r>
              <w:rPr>
                <w:rFonts w:ascii="Times New Roman" w:cs="Times New Roman" w:eastAsia="Times New Roman" w:hAnsi="Times New Roman"/>
                <w:sz w:val="15"/>
                <w:szCs w:val="15"/>
                <w:b w:val="1"/>
                <w:bCs w:val="1"/>
                <w:color w:val="auto"/>
              </w:rPr>
              <w:t>Other</w:t>
            </w:r>
          </w:p>
        </w:tc>
        <w:tc>
          <w:tcPr>
            <w:tcW w:w="180" w:type="dxa"/>
            <w:vAlign w:val="bottom"/>
          </w:tcPr>
          <w:p>
            <w:pPr>
              <w:spacing w:after="0"/>
              <w:rPr>
                <w:sz w:val="12"/>
                <w:szCs w:val="12"/>
                <w:color w:val="auto"/>
              </w:rPr>
            </w:pPr>
          </w:p>
        </w:tc>
        <w:tc>
          <w:tcPr>
            <w:tcW w:w="1160" w:type="dxa"/>
            <w:vAlign w:val="bottom"/>
          </w:tcPr>
          <w:p>
            <w:pPr>
              <w:jc w:val="right"/>
              <w:ind w:right="424"/>
              <w:spacing w:after="0" w:line="146"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0"/>
        </w:trPr>
        <w:tc>
          <w:tcPr>
            <w:tcW w:w="45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Lemons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Packing</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Agribusiness</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Agribusiness</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 from external customers</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10,512</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11,339</w:t>
            </w:r>
          </w:p>
        </w:tc>
        <w:tc>
          <w:tcPr>
            <w:tcW w:w="26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w:t>
            </w:r>
          </w:p>
        </w:tc>
        <w:tc>
          <w:tcPr>
            <w:tcW w:w="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22,530</w:t>
            </w:r>
          </w:p>
        </w:tc>
        <w:tc>
          <w:tcPr>
            <w:tcW w:w="0" w:type="dxa"/>
            <w:vAlign w:val="bottom"/>
          </w:tcPr>
          <w:p>
            <w:pPr>
              <w:spacing w:after="0"/>
              <w:rPr>
                <w:sz w:val="1"/>
                <w:szCs w:val="1"/>
                <w:color w:val="auto"/>
              </w:rPr>
            </w:pPr>
          </w:p>
        </w:tc>
      </w:tr>
      <w:tr>
        <w:trPr>
          <w:trHeight w:val="200"/>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Costs and expenses, excluding depreciation and amortization:</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Labor and benefits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4,305</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4,305</w:t>
            </w:r>
          </w:p>
        </w:tc>
        <w:tc>
          <w:tcPr>
            <w:tcW w:w="0" w:type="dxa"/>
            <w:vAlign w:val="bottom"/>
          </w:tcPr>
          <w:p>
            <w:pPr>
              <w:spacing w:after="0"/>
              <w:rPr>
                <w:sz w:val="1"/>
                <w:szCs w:val="1"/>
                <w:color w:val="auto"/>
              </w:rPr>
            </w:pPr>
          </w:p>
        </w:tc>
      </w:tr>
      <w:tr>
        <w:trPr>
          <w:trHeight w:val="200"/>
        </w:trPr>
        <w:tc>
          <w:tcPr>
            <w:tcW w:w="4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Packing supplies and fruit treatments</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2,452</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2,452</w:t>
            </w:r>
          </w:p>
        </w:tc>
        <w:tc>
          <w:tcPr>
            <w:tcW w:w="0" w:type="dxa"/>
            <w:vAlign w:val="bottom"/>
          </w:tcPr>
          <w:p>
            <w:pPr>
              <w:spacing w:after="0"/>
              <w:rPr>
                <w:sz w:val="1"/>
                <w:szCs w:val="1"/>
                <w:color w:val="auto"/>
              </w:rPr>
            </w:pPr>
          </w:p>
        </w:tc>
      </w:tr>
      <w:tr>
        <w:trPr>
          <w:trHeight w:val="205"/>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Harvest costs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1,011</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1,010</w:t>
            </w:r>
          </w:p>
        </w:tc>
        <w:tc>
          <w:tcPr>
            <w:tcW w:w="0" w:type="dxa"/>
            <w:vAlign w:val="bottom"/>
          </w:tcPr>
          <w:p>
            <w:pPr>
              <w:spacing w:after="0"/>
              <w:rPr>
                <w:sz w:val="1"/>
                <w:szCs w:val="1"/>
                <w:color w:val="auto"/>
              </w:rPr>
            </w:pPr>
          </w:p>
        </w:tc>
      </w:tr>
      <w:tr>
        <w:trPr>
          <w:trHeight w:val="200"/>
        </w:trPr>
        <w:tc>
          <w:tcPr>
            <w:tcW w:w="4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Growing costs</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948</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1,172</w:t>
            </w:r>
          </w:p>
        </w:tc>
        <w:tc>
          <w:tcPr>
            <w:tcW w:w="0" w:type="dxa"/>
            <w:vAlign w:val="bottom"/>
          </w:tcPr>
          <w:p>
            <w:pPr>
              <w:spacing w:after="0"/>
              <w:rPr>
                <w:sz w:val="1"/>
                <w:szCs w:val="1"/>
                <w:color w:val="auto"/>
              </w:rPr>
            </w:pPr>
          </w:p>
        </w:tc>
      </w:tr>
      <w:tr>
        <w:trPr>
          <w:trHeight w:val="205"/>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Third party grower and supplier costs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9,450</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9,452</w:t>
            </w:r>
          </w:p>
        </w:tc>
        <w:tc>
          <w:tcPr>
            <w:tcW w:w="0" w:type="dxa"/>
            <w:vAlign w:val="bottom"/>
          </w:tcPr>
          <w:p>
            <w:pPr>
              <w:spacing w:after="0"/>
              <w:rPr>
                <w:sz w:val="1"/>
                <w:szCs w:val="1"/>
                <w:color w:val="auto"/>
              </w:rPr>
            </w:pPr>
          </w:p>
        </w:tc>
      </w:tr>
      <w:tr>
        <w:trPr>
          <w:trHeight w:val="200"/>
        </w:trPr>
        <w:tc>
          <w:tcPr>
            <w:tcW w:w="4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Other segment items</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2,990</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2,990</w:t>
            </w:r>
          </w:p>
        </w:tc>
        <w:tc>
          <w:tcPr>
            <w:tcW w:w="0" w:type="dxa"/>
            <w:vAlign w:val="bottom"/>
          </w:tcPr>
          <w:p>
            <w:pPr>
              <w:spacing w:after="0"/>
              <w:rPr>
                <w:sz w:val="1"/>
                <w:szCs w:val="1"/>
                <w:color w:val="auto"/>
              </w:rPr>
            </w:pPr>
          </w:p>
        </w:tc>
      </w:tr>
      <w:tr>
        <w:trPr>
          <w:trHeight w:val="198"/>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costs and expenses, excluding depreciation and amortization</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11,409</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9,747</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21,381</w:t>
            </w:r>
          </w:p>
        </w:tc>
        <w:tc>
          <w:tcPr>
            <w:tcW w:w="0" w:type="dxa"/>
            <w:vAlign w:val="bottom"/>
          </w:tcPr>
          <w:p>
            <w:pPr>
              <w:spacing w:after="0"/>
              <w:rPr>
                <w:sz w:val="1"/>
                <w:szCs w:val="1"/>
                <w:color w:val="auto"/>
              </w:rPr>
            </w:pPr>
          </w:p>
        </w:tc>
      </w:tr>
      <w:tr>
        <w:trPr>
          <w:trHeight w:val="200"/>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1,777</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(loss) income</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(897)</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1,592</w:t>
            </w:r>
          </w:p>
        </w:tc>
        <w:tc>
          <w:tcPr>
            <w:tcW w:w="26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2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40" w:type="dxa"/>
            <w:vAlign w:val="bottom"/>
            <w:tcBorders>
              <w:bottom w:val="single" w:sz="8" w:color="auto"/>
            </w:tcBorders>
            <w:gridSpan w:val="9"/>
          </w:tcPr>
          <w:p>
            <w:pPr>
              <w:jc w:val="right"/>
              <w:ind w:right="704"/>
              <w:spacing w:after="0"/>
              <w:rPr>
                <w:sz w:val="20"/>
                <w:szCs w:val="20"/>
                <w:color w:val="auto"/>
              </w:rPr>
            </w:pPr>
            <w:r>
              <w:rPr>
                <w:rFonts w:ascii="Times New Roman" w:cs="Times New Roman" w:eastAsia="Times New Roman" w:hAnsi="Times New Roman"/>
                <w:sz w:val="15"/>
                <w:szCs w:val="15"/>
                <w:b w:val="1"/>
                <w:bCs w:val="1"/>
                <w:color w:val="auto"/>
              </w:rPr>
              <w:t>Agribusiness Segment Information for the Three Months Ended April 30, 2025</w:t>
            </w:r>
          </w:p>
        </w:tc>
      </w:tr>
      <w:tr>
        <w:trPr>
          <w:trHeight w:val="152"/>
        </w:trPr>
        <w:tc>
          <w:tcPr>
            <w:tcW w:w="4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384"/>
              <w:spacing w:after="0" w:line="152" w:lineRule="exact"/>
              <w:rPr>
                <w:sz w:val="20"/>
                <w:szCs w:val="20"/>
                <w:color w:val="auto"/>
              </w:rPr>
            </w:pPr>
            <w:r>
              <w:rPr>
                <w:rFonts w:ascii="Times New Roman" w:cs="Times New Roman" w:eastAsia="Times New Roman" w:hAnsi="Times New Roman"/>
                <w:sz w:val="15"/>
                <w:szCs w:val="15"/>
                <w:b w:val="1"/>
                <w:bCs w:val="1"/>
                <w:color w:val="auto"/>
              </w:rPr>
              <w:t>Fresh</w:t>
            </w:r>
          </w:p>
        </w:tc>
        <w:tc>
          <w:tcPr>
            <w:tcW w:w="260" w:type="dxa"/>
            <w:vAlign w:val="bottom"/>
          </w:tcPr>
          <w:p>
            <w:pPr>
              <w:spacing w:after="0"/>
              <w:rPr>
                <w:sz w:val="13"/>
                <w:szCs w:val="13"/>
                <w:color w:val="auto"/>
              </w:rPr>
            </w:pPr>
          </w:p>
        </w:tc>
        <w:tc>
          <w:tcPr>
            <w:tcW w:w="1060" w:type="dxa"/>
            <w:vAlign w:val="bottom"/>
          </w:tcPr>
          <w:p>
            <w:pPr>
              <w:jc w:val="right"/>
              <w:ind w:right="324"/>
              <w:spacing w:after="0" w:line="152" w:lineRule="exact"/>
              <w:rPr>
                <w:sz w:val="20"/>
                <w:szCs w:val="20"/>
                <w:color w:val="auto"/>
              </w:rPr>
            </w:pPr>
            <w:r>
              <w:rPr>
                <w:rFonts w:ascii="Times New Roman" w:cs="Times New Roman" w:eastAsia="Times New Roman" w:hAnsi="Times New Roman"/>
                <w:sz w:val="15"/>
                <w:szCs w:val="15"/>
                <w:b w:val="1"/>
                <w:bCs w:val="1"/>
                <w:color w:val="auto"/>
              </w:rPr>
              <w:t>Lemon</w:t>
            </w: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364"/>
              <w:spacing w:after="0" w:line="152" w:lineRule="exact"/>
              <w:rPr>
                <w:sz w:val="20"/>
                <w:szCs w:val="20"/>
                <w:color w:val="auto"/>
              </w:rPr>
            </w:pPr>
            <w:r>
              <w:rPr>
                <w:rFonts w:ascii="Times New Roman" w:cs="Times New Roman" w:eastAsia="Times New Roman" w:hAnsi="Times New Roman"/>
                <w:sz w:val="15"/>
                <w:szCs w:val="15"/>
                <w:b w:val="1"/>
                <w:bCs w:val="1"/>
                <w:color w:val="auto"/>
              </w:rPr>
              <w:t>Other</w:t>
            </w:r>
          </w:p>
        </w:tc>
        <w:tc>
          <w:tcPr>
            <w:tcW w:w="200" w:type="dxa"/>
            <w:vAlign w:val="bottom"/>
          </w:tcPr>
          <w:p>
            <w:pPr>
              <w:spacing w:after="0"/>
              <w:rPr>
                <w:sz w:val="13"/>
                <w:szCs w:val="13"/>
                <w:color w:val="auto"/>
              </w:rPr>
            </w:pPr>
          </w:p>
        </w:tc>
        <w:tc>
          <w:tcPr>
            <w:tcW w:w="1160" w:type="dxa"/>
            <w:vAlign w:val="bottom"/>
          </w:tcPr>
          <w:p>
            <w:pPr>
              <w:jc w:val="right"/>
              <w:ind w:right="424"/>
              <w:spacing w:after="0" w:line="152" w:lineRule="exact"/>
              <w:rPr>
                <w:sz w:val="20"/>
                <w:szCs w:val="20"/>
                <w:color w:val="auto"/>
              </w:rPr>
            </w:pPr>
            <w:r>
              <w:rPr>
                <w:rFonts w:ascii="Times New Roman" w:cs="Times New Roman" w:eastAsia="Times New Roman" w:hAnsi="Times New Roman"/>
                <w:sz w:val="15"/>
                <w:szCs w:val="15"/>
                <w:b w:val="1"/>
                <w:bCs w:val="1"/>
                <w:color w:val="auto"/>
              </w:rPr>
              <w:t>Total</w:t>
            </w:r>
          </w:p>
        </w:tc>
      </w:tr>
      <w:tr>
        <w:trPr>
          <w:trHeight w:val="206"/>
        </w:trPr>
        <w:tc>
          <w:tcPr>
            <w:tcW w:w="45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Lemons</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Packing</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Avocados</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Agribusiness</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Agribusiness</w:t>
            </w:r>
          </w:p>
        </w:tc>
      </w:tr>
      <w:tr>
        <w:trPr>
          <w:trHeight w:val="20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 from external customers</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13,456</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13,848</w:t>
            </w:r>
          </w:p>
        </w:tc>
        <w:tc>
          <w:tcPr>
            <w:tcW w:w="26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2,780</w:t>
            </w:r>
          </w:p>
        </w:tc>
        <w:tc>
          <w:tcPr>
            <w:tcW w:w="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3,498</w:t>
            </w:r>
          </w:p>
        </w:tc>
        <w:tc>
          <w:tcPr>
            <w:tcW w:w="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33,582</w:t>
            </w:r>
          </w:p>
        </w:tc>
      </w:tr>
      <w:tr>
        <w:trPr>
          <w:trHeight w:val="200"/>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Costs and expenses, excluding depreciation and amortization:</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5"/>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Labor and benefits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4,544</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4,544</w:t>
            </w:r>
          </w:p>
        </w:tc>
      </w:tr>
      <w:tr>
        <w:trPr>
          <w:trHeight w:val="200"/>
        </w:trPr>
        <w:tc>
          <w:tcPr>
            <w:tcW w:w="4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Packing supplies and fruit treatments</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2,830</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2,830</w:t>
            </w:r>
          </w:p>
        </w:tc>
      </w:tr>
      <w:tr>
        <w:trPr>
          <w:trHeight w:val="205"/>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Harvest costs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1,110</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1,357</w:t>
            </w:r>
          </w:p>
        </w:tc>
      </w:tr>
      <w:tr>
        <w:trPr>
          <w:trHeight w:val="200"/>
        </w:trPr>
        <w:tc>
          <w:tcPr>
            <w:tcW w:w="4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Growing costs</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1,523</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1,386</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3,366</w:t>
            </w:r>
          </w:p>
        </w:tc>
      </w:tr>
      <w:tr>
        <w:trPr>
          <w:trHeight w:val="205"/>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Third party grower and supplier costs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10,450</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1,988</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12,438</w:t>
            </w:r>
          </w:p>
        </w:tc>
      </w:tr>
      <w:tr>
        <w:trPr>
          <w:trHeight w:val="200"/>
        </w:trPr>
        <w:tc>
          <w:tcPr>
            <w:tcW w:w="4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Other segment items</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4,752</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551</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5,303</w:t>
            </w:r>
          </w:p>
        </w:tc>
      </w:tr>
      <w:tr>
        <w:trPr>
          <w:trHeight w:val="198"/>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costs and expenses, excluding depreciation and amortization</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13,083</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12,126</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1,623</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3,006</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29,838</w:t>
            </w:r>
          </w:p>
        </w:tc>
      </w:tr>
      <w:tr>
        <w:trPr>
          <w:trHeight w:val="200"/>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1,866</w:t>
            </w:r>
          </w:p>
        </w:tc>
      </w:tr>
      <w:tr>
        <w:trPr>
          <w:trHeight w:val="223"/>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1,722</w:t>
            </w:r>
          </w:p>
        </w:tc>
        <w:tc>
          <w:tcPr>
            <w:tcW w:w="26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1,157</w:t>
            </w:r>
          </w:p>
        </w:tc>
        <w:tc>
          <w:tcPr>
            <w:tcW w:w="2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492</w:t>
            </w:r>
          </w:p>
        </w:tc>
        <w:tc>
          <w:tcPr>
            <w:tcW w:w="2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1,878</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8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Supplemental Information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acres and average price amounts):</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Lemons</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Q2 2026</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Q2 2025</w:t>
            </w:r>
          </w:p>
        </w:tc>
        <w:tc>
          <w:tcPr>
            <w:tcW w:w="120" w:type="dxa"/>
            <w:vAlign w:val="bottom"/>
            <w:tcBorders>
              <w:bottom w:val="single" w:sz="8" w:color="CCEEFF"/>
            </w:tcBorders>
          </w:tcPr>
          <w:p>
            <w:pPr>
              <w:spacing w:after="0"/>
              <w:rPr>
                <w:sz w:val="17"/>
                <w:szCs w:val="17"/>
                <w:color w:val="auto"/>
              </w:rPr>
            </w:pPr>
          </w:p>
        </w:tc>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Lemon Packing</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Q2 2026</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Q2 2025</w:t>
            </w:r>
          </w:p>
        </w:tc>
      </w:tr>
      <w:tr>
        <w:trPr>
          <w:trHeight w:val="20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United States: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Cartons packed and sold</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1,028</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1,357</w:t>
            </w:r>
          </w:p>
        </w:tc>
      </w:tr>
      <w:tr>
        <w:trPr>
          <w:trHeight w:val="200"/>
        </w:trPr>
        <w:tc>
          <w:tcPr>
            <w:tcW w:w="3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Acres harvested</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1,300</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1,600</w:t>
            </w:r>
          </w:p>
        </w:tc>
        <w:tc>
          <w:tcPr>
            <w:tcW w:w="120" w:type="dxa"/>
            <w:vAlign w:val="bottom"/>
          </w:tcPr>
          <w:p>
            <w:pPr>
              <w:spacing w:after="0"/>
              <w:rPr>
                <w:sz w:val="17"/>
                <w:szCs w:val="17"/>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11,339</w:t>
            </w:r>
          </w:p>
        </w:tc>
        <w:tc>
          <w:tcPr>
            <w:tcW w:w="2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13,848</w:t>
            </w:r>
          </w:p>
        </w:tc>
      </w:tr>
      <w:tr>
        <w:trPr>
          <w:trHeight w:val="205"/>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Limoneira cartons sold</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Direct costs</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9,747</w:t>
            </w:r>
          </w:p>
        </w:tc>
        <w:tc>
          <w:tcPr>
            <w:tcW w:w="26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12,126</w:t>
            </w:r>
          </w:p>
        </w:tc>
      </w:tr>
      <w:tr>
        <w:trPr>
          <w:trHeight w:val="194"/>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Third-party grower cartons sold</w:t>
            </w:r>
          </w:p>
        </w:tc>
        <w:tc>
          <w:tcPr>
            <w:tcW w:w="2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925</w:t>
            </w:r>
          </w:p>
        </w:tc>
        <w:tc>
          <w:tcPr>
            <w:tcW w:w="2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1,249</w:t>
            </w:r>
          </w:p>
        </w:tc>
        <w:tc>
          <w:tcPr>
            <w:tcW w:w="120" w:type="dxa"/>
            <w:vAlign w:val="bottom"/>
            <w:tcBorders>
              <w:bottom w:val="single" w:sz="8" w:color="CCEEFF"/>
            </w:tcBorders>
          </w:tcPr>
          <w:p>
            <w:pPr>
              <w:spacing w:after="0"/>
              <w:rPr>
                <w:sz w:val="16"/>
                <w:szCs w:val="16"/>
                <w:color w:val="auto"/>
              </w:rPr>
            </w:pPr>
          </w:p>
        </w:tc>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Operating income</w:t>
            </w: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1,592</w:t>
            </w:r>
          </w:p>
        </w:tc>
        <w:tc>
          <w:tcPr>
            <w:tcW w:w="2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1,722</w:t>
            </w:r>
          </w:p>
        </w:tc>
      </w:tr>
      <w:tr>
        <w:trPr>
          <w:trHeight w:val="185"/>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Average price per carton</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16.63</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14.52</w:t>
            </w: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02"/>
        </w:trPr>
        <w:tc>
          <w:tcPr>
            <w:tcW w:w="33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Avocados</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Q2 2026</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Q2 2025</w:t>
            </w:r>
          </w:p>
        </w:tc>
      </w:tr>
      <w:tr>
        <w:trPr>
          <w:trHeight w:val="19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Chile:</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Pounds sold</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1,232</w:t>
            </w:r>
          </w:p>
        </w:tc>
      </w:tr>
      <w:tr>
        <w:trPr>
          <w:trHeight w:val="200"/>
        </w:trPr>
        <w:tc>
          <w:tcPr>
            <w:tcW w:w="3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Lemon revenue</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1,677</w:t>
            </w:r>
          </w:p>
        </w:tc>
        <w:tc>
          <w:tcPr>
            <w:tcW w:w="120" w:type="dxa"/>
            <w:vAlign w:val="bottom"/>
          </w:tcPr>
          <w:p>
            <w:pPr>
              <w:spacing w:after="0"/>
              <w:rPr>
                <w:sz w:val="17"/>
                <w:szCs w:val="17"/>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Average price per pound</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0.96</w:t>
            </w:r>
          </w:p>
        </w:tc>
        <w:tc>
          <w:tcPr>
            <w:tcW w:w="2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w:t>
            </w:r>
          </w:p>
        </w:tc>
      </w:tr>
      <w:tr>
        <w:trPr>
          <w:trHeight w:val="205"/>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40-pound carton equivalents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3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0"/>
        </w:trPr>
        <w:tc>
          <w:tcPr>
            <w:tcW w:w="3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Pack handling</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4,358</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4,652</w:t>
            </w:r>
          </w:p>
        </w:tc>
        <w:tc>
          <w:tcPr>
            <w:tcW w:w="1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5"/>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Lemon by-product sales</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w:t>
            </w: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0"/>
        </w:trPr>
        <w:tc>
          <w:tcPr>
            <w:tcW w:w="3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Brokered lemons and other lemon sales</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704</w:t>
            </w:r>
          </w:p>
        </w:tc>
        <w:tc>
          <w:tcPr>
            <w:tcW w:w="1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8"/>
        </w:trPr>
        <w:tc>
          <w:tcPr>
            <w:tcW w:w="3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2"/>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Agribusiness Costs and Expenses</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Q2 2026</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Q2 2025</w:t>
            </w:r>
          </w:p>
        </w:tc>
        <w:tc>
          <w:tcPr>
            <w:tcW w:w="120" w:type="dxa"/>
            <w:vAlign w:val="bottom"/>
            <w:tcBorders>
              <w:bottom w:val="single" w:sz="8" w:color="CCEEFF"/>
            </w:tcBorders>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r>
      <w:tr>
        <w:trPr>
          <w:trHeight w:val="19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Packing costs</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9,747</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12,126</w:t>
            </w: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0"/>
        </w:trPr>
        <w:tc>
          <w:tcPr>
            <w:tcW w:w="3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Harvest costs</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1,010</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1,357</w:t>
            </w:r>
          </w:p>
        </w:tc>
        <w:tc>
          <w:tcPr>
            <w:tcW w:w="1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5"/>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Growing costs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1,172</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3,366</w:t>
            </w: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0"/>
        </w:trPr>
        <w:tc>
          <w:tcPr>
            <w:tcW w:w="3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Third-party grower and supplier costs</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9,452</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12,438</w:t>
            </w:r>
          </w:p>
        </w:tc>
        <w:tc>
          <w:tcPr>
            <w:tcW w:w="1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5"/>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costs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w:t>
            </w: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0"/>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1,777</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1,866</w:t>
            </w:r>
          </w:p>
        </w:tc>
        <w:tc>
          <w:tcPr>
            <w:tcW w:w="120" w:type="dxa"/>
            <w:vAlign w:val="bottom"/>
            <w:tcBorders>
              <w:bottom w:val="single" w:sz="8" w:color="CCEEFF"/>
            </w:tcBorders>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r>
      <w:tr>
        <w:trPr>
          <w:trHeight w:val="19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Agribusiness costs and expenses</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23,158</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31,704</w:t>
            </w: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1220"/>
      </w:cols>
      <w:pgMar w:left="320" w:top="8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2026-06-09T15:04:31Z</dcterms:created>
  <dcterms:modified xsi:type="dcterms:W3CDTF">2026-06-09T15:04:31Z</dcterms:modified>
</cp:coreProperties>
</file>